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AF703" w14:textId="583F630E" w:rsidR="005C23C6" w:rsidRPr="00002CD6" w:rsidRDefault="002700DC" w:rsidP="00C016A5">
      <w:pPr>
        <w:pStyle w:val="berschrift2"/>
      </w:pPr>
      <w:r w:rsidRPr="002700DC">
        <w:t>Marktanalyse 2026: Die KI-getriebene Neubewertung und strategische Implikationen für Anleger</w:t>
      </w:r>
      <w:r w:rsidRPr="002700DC">
        <w:t xml:space="preserve"> </w:t>
      </w:r>
    </w:p>
    <w:p w14:paraId="60A11BDA" w14:textId="77777777" w:rsidR="00C016A5" w:rsidRPr="00002CD6" w:rsidRDefault="00C016A5" w:rsidP="00C016A5"/>
    <w:p w14:paraId="017B2F4A" w14:textId="77777777" w:rsidR="002700DC" w:rsidRPr="002700DC" w:rsidRDefault="002700DC" w:rsidP="002700DC">
      <w:pPr>
        <w:rPr>
          <w:b/>
          <w:bCs/>
        </w:rPr>
      </w:pPr>
      <w:r w:rsidRPr="002700DC">
        <w:rPr>
          <w:b/>
          <w:bCs/>
        </w:rPr>
        <w:t>1. Status Quo: Die „</w:t>
      </w:r>
      <w:proofErr w:type="spellStart"/>
      <w:r w:rsidRPr="002700DC">
        <w:rPr>
          <w:b/>
          <w:bCs/>
        </w:rPr>
        <w:t>SaaSpocalypse</w:t>
      </w:r>
      <w:proofErr w:type="spellEnd"/>
      <w:r w:rsidRPr="002700DC">
        <w:rPr>
          <w:b/>
          <w:bCs/>
        </w:rPr>
        <w:t>“ und der Bruch etablierter Marktstrukturen</w:t>
      </w:r>
    </w:p>
    <w:p w14:paraId="6DD1E91F" w14:textId="59E9CD2E" w:rsidR="002700DC" w:rsidRPr="002700DC" w:rsidRDefault="000E4689" w:rsidP="002700DC">
      <w:r>
        <w:t xml:space="preserve">Der Zeitraum Ende </w:t>
      </w:r>
      <w:r w:rsidR="002700DC" w:rsidRPr="002700DC">
        <w:t>März 2026 markiert das Ende einer Ära. Was als schleichende Skepsis begann, hat sich an diesem Stichtag zu einer fundamentalen Kapitulation gegenüber dem Modell „Software-</w:t>
      </w:r>
      <w:proofErr w:type="spellStart"/>
      <w:r w:rsidR="002700DC" w:rsidRPr="002700DC">
        <w:t>as</w:t>
      </w:r>
      <w:proofErr w:type="spellEnd"/>
      <w:r w:rsidR="002700DC" w:rsidRPr="002700DC">
        <w:t>-a-Service“ (SaaS) ausgeweitet. Die strategische Tragweite des aktuellen Abverkaufs lässt sich nicht mehr mit temporärer Volatilität erklären; wir erleben die Erosion von Geschäftsmodellen, die über zwei Jahrzehnte als unantastbar galten. Traditionelle Bewertungsmodelle, die auf dem „Seat-</w:t>
      </w:r>
      <w:proofErr w:type="spellStart"/>
      <w:r w:rsidR="002700DC" w:rsidRPr="002700DC">
        <w:t>based</w:t>
      </w:r>
      <w:proofErr w:type="spellEnd"/>
      <w:r w:rsidR="002700DC" w:rsidRPr="002700DC">
        <w:t xml:space="preserve"> Licensing“ (Abrechnung pro Mitarbeiter) basieren, verlieren ihre Validität, da autonome KI-Agenten die Korrelation zwischen Mitarbeiterzahl und Softwarebedarf dauerhaft entkoppeln.</w:t>
      </w:r>
    </w:p>
    <w:p w14:paraId="28E92FCB" w14:textId="77777777" w:rsidR="002700DC" w:rsidRPr="002700DC" w:rsidRDefault="002700DC" w:rsidP="002700DC">
      <w:r w:rsidRPr="002700DC">
        <w:t>Die folgende Übersicht verdeutlicht die Tiefe der Zäsur und die technischen Warnsignale, die auf eine systemische Umschichtung hindeuten: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0"/>
        <w:gridCol w:w="1807"/>
        <w:gridCol w:w="2603"/>
        <w:gridCol w:w="3106"/>
      </w:tblGrid>
      <w:tr w:rsidR="002700DC" w:rsidRPr="002700DC" w14:paraId="3914A4AD"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14DB428F" w14:textId="77777777" w:rsidR="002700DC" w:rsidRPr="002700DC" w:rsidRDefault="002700DC" w:rsidP="002700DC">
            <w:r w:rsidRPr="002700DC">
              <w:t>Unternehmen</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52A30" w14:textId="77777777" w:rsidR="002700DC" w:rsidRPr="002700DC" w:rsidRDefault="002700DC" w:rsidP="002700DC">
            <w:r w:rsidRPr="002700DC">
              <w:t>Kursverlust (YTD / vom Hoch)</w:t>
            </w:r>
          </w:p>
        </w:tc>
        <w:tc>
          <w:tcPr>
            <w:tcW w:w="0" w:type="auto"/>
            <w:tcBorders>
              <w:top w:val="outset" w:sz="6" w:space="0" w:color="auto"/>
              <w:left w:val="outset" w:sz="6" w:space="0" w:color="auto"/>
              <w:bottom w:val="outset" w:sz="6" w:space="0" w:color="auto"/>
              <w:right w:val="outset" w:sz="6" w:space="0" w:color="auto"/>
            </w:tcBorders>
            <w:vAlign w:val="center"/>
            <w:hideMark/>
          </w:tcPr>
          <w:p w14:paraId="07803CCC" w14:textId="77777777" w:rsidR="002700DC" w:rsidRPr="002700DC" w:rsidRDefault="002700DC" w:rsidP="002700DC">
            <w:r w:rsidRPr="002700DC">
              <w:t>Technisches Warnsignal</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90AEA" w14:textId="77777777" w:rsidR="002700DC" w:rsidRPr="002700DC" w:rsidRDefault="002700DC" w:rsidP="002700DC">
            <w:r w:rsidRPr="002700DC">
              <w:t>Strategische Ursache der Disruption</w:t>
            </w:r>
          </w:p>
        </w:tc>
      </w:tr>
      <w:tr w:rsidR="002700DC" w:rsidRPr="002700DC" w14:paraId="1056D227"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67FE4960" w14:textId="77777777" w:rsidR="002700DC" w:rsidRPr="002700DC" w:rsidRDefault="002700DC" w:rsidP="002700DC">
            <w:r w:rsidRPr="002700DC">
              <w:rPr>
                <w:b/>
                <w:bCs/>
              </w:rPr>
              <w:t>SAP</w:t>
            </w:r>
          </w:p>
        </w:tc>
        <w:tc>
          <w:tcPr>
            <w:tcW w:w="0" w:type="auto"/>
            <w:tcBorders>
              <w:top w:val="outset" w:sz="6" w:space="0" w:color="auto"/>
              <w:left w:val="outset" w:sz="6" w:space="0" w:color="auto"/>
              <w:bottom w:val="outset" w:sz="6" w:space="0" w:color="auto"/>
              <w:right w:val="outset" w:sz="6" w:space="0" w:color="auto"/>
            </w:tcBorders>
            <w:vAlign w:val="center"/>
            <w:hideMark/>
          </w:tcPr>
          <w:p w14:paraId="2151E17C" w14:textId="77777777" w:rsidR="002700DC" w:rsidRPr="002700DC" w:rsidRDefault="002700DC" w:rsidP="002700DC">
            <w:r w:rsidRPr="002700DC">
              <w:t>bis zu -40 %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442451" w14:textId="77777777" w:rsidR="002700DC" w:rsidRPr="002700DC" w:rsidRDefault="002700DC" w:rsidP="002700DC">
            <w:r w:rsidRPr="002700DC">
              <w:t>Massiver Vertrauensbruch nach ATH</w:t>
            </w:r>
          </w:p>
        </w:tc>
        <w:tc>
          <w:tcPr>
            <w:tcW w:w="0" w:type="auto"/>
            <w:tcBorders>
              <w:top w:val="outset" w:sz="6" w:space="0" w:color="auto"/>
              <w:left w:val="outset" w:sz="6" w:space="0" w:color="auto"/>
              <w:bottom w:val="outset" w:sz="6" w:space="0" w:color="auto"/>
              <w:right w:val="outset" w:sz="6" w:space="0" w:color="auto"/>
            </w:tcBorders>
            <w:vAlign w:val="center"/>
            <w:hideMark/>
          </w:tcPr>
          <w:p w14:paraId="1A322234" w14:textId="77777777" w:rsidR="002700DC" w:rsidRPr="002700DC" w:rsidRDefault="002700DC" w:rsidP="002700DC">
            <w:r w:rsidRPr="002700DC">
              <w:t>Ablösung von ERP-Kernprozessen durch Agenten</w:t>
            </w:r>
          </w:p>
        </w:tc>
      </w:tr>
      <w:tr w:rsidR="002700DC" w:rsidRPr="002700DC" w14:paraId="15F06E94"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6DC8CA8D" w14:textId="77777777" w:rsidR="002700DC" w:rsidRPr="002700DC" w:rsidRDefault="002700DC" w:rsidP="002700DC">
            <w:r w:rsidRPr="002700DC">
              <w:rPr>
                <w:b/>
                <w:bCs/>
              </w:rPr>
              <w:t>IBM</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F7FC1" w14:textId="77777777" w:rsidR="002700DC" w:rsidRPr="002700DC" w:rsidRDefault="002700DC" w:rsidP="002700DC">
            <w:r w:rsidRPr="002700DC">
              <w:t>-30 %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A4E4C2" w14:textId="77777777" w:rsidR="002700DC" w:rsidRPr="002700DC" w:rsidRDefault="002700DC" w:rsidP="002700DC">
            <w:r w:rsidRPr="002700DC">
              <w:t>Höchster Tagesverlust seit 2000 (-13,1 %)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E8B18E" w14:textId="77777777" w:rsidR="002700DC" w:rsidRPr="002700DC" w:rsidRDefault="002700DC" w:rsidP="002700DC">
            <w:r w:rsidRPr="002700DC">
              <w:t>Obsoleszenz klassischer Consulting-</w:t>
            </w:r>
            <w:proofErr w:type="spellStart"/>
            <w:r w:rsidRPr="002700DC">
              <w:t>Backends</w:t>
            </w:r>
            <w:proofErr w:type="spellEnd"/>
          </w:p>
        </w:tc>
      </w:tr>
      <w:tr w:rsidR="002700DC" w:rsidRPr="002700DC" w14:paraId="09F28179"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43CEDD03" w14:textId="77777777" w:rsidR="002700DC" w:rsidRPr="002700DC" w:rsidRDefault="002700DC" w:rsidP="002700DC">
            <w:r w:rsidRPr="002700DC">
              <w:rPr>
                <w:b/>
                <w:bCs/>
              </w:rPr>
              <w:t>Microsoft</w:t>
            </w:r>
          </w:p>
        </w:tc>
        <w:tc>
          <w:tcPr>
            <w:tcW w:w="0" w:type="auto"/>
            <w:tcBorders>
              <w:top w:val="outset" w:sz="6" w:space="0" w:color="auto"/>
              <w:left w:val="outset" w:sz="6" w:space="0" w:color="auto"/>
              <w:bottom w:val="outset" w:sz="6" w:space="0" w:color="auto"/>
              <w:right w:val="outset" w:sz="6" w:space="0" w:color="auto"/>
            </w:tcBorders>
            <w:vAlign w:val="center"/>
            <w:hideMark/>
          </w:tcPr>
          <w:p w14:paraId="72018D3C" w14:textId="77777777" w:rsidR="002700DC" w:rsidRPr="002700DC" w:rsidRDefault="002700DC" w:rsidP="002700DC">
            <w:r w:rsidRPr="002700DC">
              <w:t>-15 %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942C23" w14:textId="77777777" w:rsidR="002700DC" w:rsidRPr="002700DC" w:rsidRDefault="002700DC" w:rsidP="002700DC">
            <w:r w:rsidRPr="002700DC">
              <w:rPr>
                <w:b/>
                <w:bCs/>
              </w:rPr>
              <w:t>Bruch EMA 200 (Wochenchart)</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DFF94" w14:textId="77777777" w:rsidR="002700DC" w:rsidRPr="002700DC" w:rsidRDefault="002700DC" w:rsidP="002700DC">
            <w:r w:rsidRPr="002700DC">
              <w:t>Marktsättigung &amp; Risiko bei Lizenz-Erlösströmen</w:t>
            </w:r>
          </w:p>
        </w:tc>
      </w:tr>
      <w:tr w:rsidR="002700DC" w:rsidRPr="002700DC" w14:paraId="555A3F03"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375DB4FB" w14:textId="77777777" w:rsidR="002700DC" w:rsidRPr="002700DC" w:rsidRDefault="002700DC" w:rsidP="002700DC">
            <w:r w:rsidRPr="002700DC">
              <w:rPr>
                <w:b/>
                <w:bCs/>
              </w:rPr>
              <w:t>Wolters Kluwer</w:t>
            </w:r>
          </w:p>
        </w:tc>
        <w:tc>
          <w:tcPr>
            <w:tcW w:w="0" w:type="auto"/>
            <w:tcBorders>
              <w:top w:val="outset" w:sz="6" w:space="0" w:color="auto"/>
              <w:left w:val="outset" w:sz="6" w:space="0" w:color="auto"/>
              <w:bottom w:val="outset" w:sz="6" w:space="0" w:color="auto"/>
              <w:right w:val="outset" w:sz="6" w:space="0" w:color="auto"/>
            </w:tcBorders>
            <w:vAlign w:val="center"/>
            <w:hideMark/>
          </w:tcPr>
          <w:p w14:paraId="20F4D99A" w14:textId="77777777" w:rsidR="002700DC" w:rsidRPr="002700DC" w:rsidRDefault="002700DC" w:rsidP="002700DC">
            <w:r w:rsidRPr="002700DC">
              <w:t>-13 %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4CA94E" w14:textId="77777777" w:rsidR="002700DC" w:rsidRPr="002700DC" w:rsidRDefault="002700DC" w:rsidP="002700DC">
            <w:r w:rsidRPr="002700DC">
              <w:t>Rapider Abverkauf im März</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816A9" w14:textId="77777777" w:rsidR="002700DC" w:rsidRPr="002700DC" w:rsidRDefault="002700DC" w:rsidP="002700DC">
            <w:r w:rsidRPr="002700DC">
              <w:t>Anthropic-Plugins ersetzen juristische Recherche</w:t>
            </w:r>
          </w:p>
        </w:tc>
      </w:tr>
      <w:tr w:rsidR="002700DC" w:rsidRPr="002700DC" w14:paraId="65458326"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02304C55" w14:textId="77777777" w:rsidR="002700DC" w:rsidRPr="002700DC" w:rsidRDefault="002700DC" w:rsidP="002700DC">
            <w:proofErr w:type="spellStart"/>
            <w:r w:rsidRPr="002700DC">
              <w:rPr>
                <w:b/>
                <w:bCs/>
              </w:rPr>
              <w:t>Relx</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1ECFE1F" w14:textId="77777777" w:rsidR="002700DC" w:rsidRPr="002700DC" w:rsidRDefault="002700DC" w:rsidP="002700DC">
            <w:r w:rsidRPr="002700DC">
              <w:t>-14 %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DDA94E" w14:textId="77777777" w:rsidR="002700DC" w:rsidRPr="002700DC" w:rsidRDefault="002700DC" w:rsidP="002700DC">
            <w:r w:rsidRPr="002700DC">
              <w:t>Bruch langfristiger Support-Zonen</w:t>
            </w:r>
          </w:p>
        </w:tc>
        <w:tc>
          <w:tcPr>
            <w:tcW w:w="0" w:type="auto"/>
            <w:tcBorders>
              <w:top w:val="outset" w:sz="6" w:space="0" w:color="auto"/>
              <w:left w:val="outset" w:sz="6" w:space="0" w:color="auto"/>
              <w:bottom w:val="outset" w:sz="6" w:space="0" w:color="auto"/>
              <w:right w:val="outset" w:sz="6" w:space="0" w:color="auto"/>
            </w:tcBorders>
            <w:vAlign w:val="center"/>
            <w:hideMark/>
          </w:tcPr>
          <w:p w14:paraId="11B4EF1A" w14:textId="77777777" w:rsidR="002700DC" w:rsidRPr="002700DC" w:rsidRDefault="002700DC" w:rsidP="002700DC">
            <w:r w:rsidRPr="002700DC">
              <w:t>KI-gesteuerte Due Diligence entwertet Datenbank-Modelle</w:t>
            </w:r>
          </w:p>
        </w:tc>
      </w:tr>
      <w:tr w:rsidR="002700DC" w:rsidRPr="002700DC" w14:paraId="0C1F337D"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36C52651" w14:textId="77777777" w:rsidR="002700DC" w:rsidRPr="002700DC" w:rsidRDefault="002700DC" w:rsidP="002700DC">
            <w:r w:rsidRPr="002700DC">
              <w:rPr>
                <w:b/>
                <w:bCs/>
              </w:rPr>
              <w:t>Adobe</w:t>
            </w:r>
          </w:p>
        </w:tc>
        <w:tc>
          <w:tcPr>
            <w:tcW w:w="0" w:type="auto"/>
            <w:tcBorders>
              <w:top w:val="outset" w:sz="6" w:space="0" w:color="auto"/>
              <w:left w:val="outset" w:sz="6" w:space="0" w:color="auto"/>
              <w:bottom w:val="outset" w:sz="6" w:space="0" w:color="auto"/>
              <w:right w:val="outset" w:sz="6" w:space="0" w:color="auto"/>
            </w:tcBorders>
            <w:vAlign w:val="center"/>
            <w:hideMark/>
          </w:tcPr>
          <w:p w14:paraId="445BBF47" w14:textId="77777777" w:rsidR="002700DC" w:rsidRPr="002700DC" w:rsidRDefault="002700DC" w:rsidP="002700DC">
            <w:r w:rsidRPr="002700DC">
              <w:t>-22 %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C5D612" w14:textId="77777777" w:rsidR="002700DC" w:rsidRPr="002700DC" w:rsidRDefault="002700DC" w:rsidP="002700DC">
            <w:r w:rsidRPr="002700DC">
              <w:t>Relative Schwäche zum Gesamtmarkt</w:t>
            </w:r>
          </w:p>
        </w:tc>
        <w:tc>
          <w:tcPr>
            <w:tcW w:w="0" w:type="auto"/>
            <w:tcBorders>
              <w:top w:val="outset" w:sz="6" w:space="0" w:color="auto"/>
              <w:left w:val="outset" w:sz="6" w:space="0" w:color="auto"/>
              <w:bottom w:val="outset" w:sz="6" w:space="0" w:color="auto"/>
              <w:right w:val="outset" w:sz="6" w:space="0" w:color="auto"/>
            </w:tcBorders>
            <w:vAlign w:val="center"/>
            <w:hideMark/>
          </w:tcPr>
          <w:p w14:paraId="56B22AC2" w14:textId="77777777" w:rsidR="002700DC" w:rsidRPr="002700DC" w:rsidRDefault="002700DC" w:rsidP="002700DC">
            <w:r w:rsidRPr="002700DC">
              <w:t>Generative Video-Tools kannibalisieren Design-Suiten</w:t>
            </w:r>
          </w:p>
        </w:tc>
      </w:tr>
    </w:tbl>
    <w:p w14:paraId="2407022D" w14:textId="77777777" w:rsidR="002700DC" w:rsidRPr="002700DC" w:rsidRDefault="002700DC" w:rsidP="002700DC">
      <w:r w:rsidRPr="002700DC">
        <w:t xml:space="preserve">Dieser Vertrauensverlust ist kein isoliertes Tech-Ereignis, sondern ein systemisches Warnsignal. Wenn Schwergewichte wie Microsoft fundamentale Marken wie den EMA </w:t>
      </w:r>
      <w:r w:rsidRPr="002700DC">
        <w:lastRenderedPageBreak/>
        <w:t>200 im Wochenchart nach unten durchbrechen, signalisiert dies das Ende des blinden Vertrauens in die Skalierbarkeit digitaler Lizenzen. Anleger sind gezwungen, von der Hoffnung auf ewiges Wachstum zu einer Suche nach defensiven, physisch verankerten Fundamentaldaten überzugehen.</w:t>
      </w:r>
    </w:p>
    <w:p w14:paraId="3BEB41EE" w14:textId="77777777" w:rsidR="002700DC" w:rsidRPr="002700DC" w:rsidRDefault="002700DC" w:rsidP="002700DC">
      <w:r w:rsidRPr="002700DC">
        <w:t xml:space="preserve">-------------------------------------------------------------------------------- </w:t>
      </w:r>
    </w:p>
    <w:p w14:paraId="4B4D092C" w14:textId="77777777" w:rsidR="002700DC" w:rsidRPr="002700DC" w:rsidRDefault="002700DC" w:rsidP="002700DC">
      <w:pPr>
        <w:rPr>
          <w:b/>
          <w:bCs/>
        </w:rPr>
      </w:pPr>
      <w:r w:rsidRPr="002700DC">
        <w:rPr>
          <w:b/>
          <w:bCs/>
        </w:rPr>
        <w:t xml:space="preserve">2. Konsensanalyse: Sektoren mit „Physischem Moat“ und </w:t>
      </w:r>
      <w:proofErr w:type="spellStart"/>
      <w:r w:rsidRPr="002700DC">
        <w:rPr>
          <w:b/>
          <w:bCs/>
        </w:rPr>
        <w:t>Disruptionsschutz</w:t>
      </w:r>
      <w:proofErr w:type="spellEnd"/>
    </w:p>
    <w:p w14:paraId="6565C249" w14:textId="77777777" w:rsidR="002700DC" w:rsidRPr="002700DC" w:rsidRDefault="002700DC" w:rsidP="002700DC">
      <w:r w:rsidRPr="002700DC">
        <w:t>In einer Welt, in der digitaler Code durch generative Modelle nahezu zum Nulltarif produziert werden kann, kehrt sich die Logik der Wertschöpfung um. Hoher Kapitalaufwand (Capex) und regulatorische Hürden, die gestern noch als Wachstumsbremsen galten, transformieren sich 2026 zum ultimativen Schutzwall gegen algorithmische Disruption. Wir beobachten eine strategische Flucht in die „physische Welt“ – dort, wo reale Infrastruktur den Wert sichert.</w:t>
      </w:r>
    </w:p>
    <w:p w14:paraId="0BDB5A8A" w14:textId="7CFA1AF8" w:rsidR="002700DC" w:rsidRPr="002700DC" w:rsidRDefault="002700DC" w:rsidP="002700DC">
      <w:r w:rsidRPr="002700DC">
        <w:t xml:space="preserve">Die </w:t>
      </w:r>
      <w:r w:rsidR="000E4689">
        <w:t xml:space="preserve">verwendeten </w:t>
      </w:r>
      <w:r w:rsidRPr="002700DC">
        <w:t xml:space="preserve">Analysemodelle </w:t>
      </w:r>
      <w:r w:rsidR="000E4689">
        <w:t xml:space="preserve">(Claude 4.6, Grok 4.2 und Kimi 2.5) </w:t>
      </w:r>
      <w:r w:rsidRPr="002700DC">
        <w:t>weisen eine hohe Übereinstimmung bei der Identifikation folgender Schutzsektoren auf:</w:t>
      </w:r>
    </w:p>
    <w:p w14:paraId="792D28CF" w14:textId="77777777" w:rsidR="002700DC" w:rsidRPr="002700DC" w:rsidRDefault="002700DC" w:rsidP="002700DC">
      <w:pPr>
        <w:numPr>
          <w:ilvl w:val="0"/>
          <w:numId w:val="119"/>
        </w:numPr>
      </w:pPr>
      <w:r w:rsidRPr="002700DC">
        <w:rPr>
          <w:b/>
          <w:bCs/>
        </w:rPr>
        <w:t>Energie &amp; Versorger (Datacenter-</w:t>
      </w:r>
      <w:proofErr w:type="spellStart"/>
      <w:r w:rsidRPr="002700DC">
        <w:rPr>
          <w:b/>
          <w:bCs/>
        </w:rPr>
        <w:t>Enabler</w:t>
      </w:r>
      <w:proofErr w:type="spellEnd"/>
      <w:r w:rsidRPr="002700DC">
        <w:rPr>
          <w:b/>
          <w:bCs/>
        </w:rPr>
        <w:t>):</w:t>
      </w:r>
      <w:r w:rsidRPr="002700DC">
        <w:t xml:space="preserve"> Stromnetze, Wasserversorgung und Abfallwirtschaft besitzen physische Monopolstrukturen. Die massive Nachfrage nach Energie für KI-Rechenzentren bei gleichzeitig begrenztem Angebot macht Versorger zu den primären Profiteuren der KI-Infrastruktur.</w:t>
      </w:r>
    </w:p>
    <w:p w14:paraId="548394BE" w14:textId="77777777" w:rsidR="002700DC" w:rsidRPr="002700DC" w:rsidRDefault="002700DC" w:rsidP="002700DC">
      <w:pPr>
        <w:numPr>
          <w:ilvl w:val="0"/>
          <w:numId w:val="119"/>
        </w:numPr>
      </w:pPr>
      <w:r w:rsidRPr="002700DC">
        <w:rPr>
          <w:b/>
          <w:bCs/>
        </w:rPr>
        <w:t>Rohstoffe &amp; Bergbau:</w:t>
      </w:r>
      <w:r w:rsidRPr="002700DC">
        <w:t xml:space="preserve"> Kupfer, Lithium und seltene Erden bilden das physische Fundament der Digitalisierung. Ressourcenknappheit kann nicht durch Algorithmen weggeschmolzen werden; die physische Extraktion bleibt unersetzlich.</w:t>
      </w:r>
    </w:p>
    <w:p w14:paraId="56EE2D7D" w14:textId="77777777" w:rsidR="002700DC" w:rsidRPr="002700DC" w:rsidRDefault="002700DC" w:rsidP="002700DC">
      <w:pPr>
        <w:numPr>
          <w:ilvl w:val="0"/>
          <w:numId w:val="119"/>
        </w:numPr>
      </w:pPr>
      <w:r w:rsidRPr="002700DC">
        <w:rPr>
          <w:b/>
          <w:bCs/>
        </w:rPr>
        <w:t>Physische Infrastruktur:</w:t>
      </w:r>
      <w:r w:rsidRPr="002700DC">
        <w:t xml:space="preserve"> Häfen, Eisenbahnen und spezialisierte Logistik-Hubs verfügen über langfristige Kapitalbindungen. Hier fungiert KI lediglich als Effizienz-Tool zur Optimierung, nicht als substituierender Konkurrent.</w:t>
      </w:r>
    </w:p>
    <w:p w14:paraId="0A5406E7" w14:textId="77777777" w:rsidR="002700DC" w:rsidRPr="002700DC" w:rsidRDefault="002700DC" w:rsidP="002700DC">
      <w:pPr>
        <w:numPr>
          <w:ilvl w:val="0"/>
          <w:numId w:val="119"/>
        </w:numPr>
      </w:pPr>
      <w:r w:rsidRPr="002700DC">
        <w:rPr>
          <w:b/>
          <w:bCs/>
        </w:rPr>
        <w:t>Hochregulierte Branchen (</w:t>
      </w:r>
      <w:proofErr w:type="spellStart"/>
      <w:r w:rsidRPr="002700DC">
        <w:rPr>
          <w:b/>
          <w:bCs/>
        </w:rPr>
        <w:t>Pharma</w:t>
      </w:r>
      <w:proofErr w:type="spellEnd"/>
      <w:r w:rsidRPr="002700DC">
        <w:rPr>
          <w:b/>
          <w:bCs/>
        </w:rPr>
        <w:t xml:space="preserve"> &amp; Rüstung):</w:t>
      </w:r>
      <w:r w:rsidRPr="002700DC">
        <w:t xml:space="preserve"> Während KI die Wirkstoffforschung (Drug Discovery) beschleunigt, bleiben klinische Studien, FDA-Zulassungen und nationale Sicherheitsinteressen unüberwindbare Barrieren für rein digitale Player. Im Defense-Sektor sehen 72 % der </w:t>
      </w:r>
      <w:proofErr w:type="spellStart"/>
      <w:r w:rsidRPr="002700DC">
        <w:t>Executives</w:t>
      </w:r>
      <w:proofErr w:type="spellEnd"/>
      <w:r w:rsidRPr="002700DC">
        <w:t xml:space="preserve"> KI primär als Chance zur Produktivitätssteigerung innerhalb geschützter staatlicher Auftragsstrukturen.</w:t>
      </w:r>
    </w:p>
    <w:p w14:paraId="5499945F" w14:textId="77777777" w:rsidR="002700DC" w:rsidRPr="002700DC" w:rsidRDefault="002700DC" w:rsidP="002700DC">
      <w:r w:rsidRPr="002700DC">
        <w:rPr>
          <w:b/>
          <w:bCs/>
        </w:rPr>
        <w:t xml:space="preserve">Der „So </w:t>
      </w:r>
      <w:proofErr w:type="spellStart"/>
      <w:r w:rsidRPr="002700DC">
        <w:rPr>
          <w:b/>
          <w:bCs/>
        </w:rPr>
        <w:t>What</w:t>
      </w:r>
      <w:proofErr w:type="spellEnd"/>
      <w:r w:rsidRPr="002700DC">
        <w:rPr>
          <w:b/>
          <w:bCs/>
        </w:rPr>
        <w:t>?“-Faktor:</w:t>
      </w:r>
      <w:r w:rsidRPr="002700DC">
        <w:t xml:space="preserve"> Wir erleben eine „Inversion der Logik“: Der EU AI Act und ähnliche Regulierungen wirken nun wie eine Lizenz zum Gelddrucken für etablierte Player, da sie den Markteintritt für disruptive Newcomer massiv verteuern. Der „physische Moat“ ist der einzige verbleibende Wertspeicher in einer Ära der digitalen Entwertung. Dennoch ist die Gefahr für andere Segmente des Marktes keineswegs gebannt.</w:t>
      </w:r>
    </w:p>
    <w:p w14:paraId="22DDF327" w14:textId="77777777" w:rsidR="002700DC" w:rsidRPr="002700DC" w:rsidRDefault="002700DC" w:rsidP="002700DC">
      <w:r w:rsidRPr="002700DC">
        <w:lastRenderedPageBreak/>
        <w:t xml:space="preserve">-------------------------------------------------------------------------------- </w:t>
      </w:r>
    </w:p>
    <w:p w14:paraId="37C5F590" w14:textId="77777777" w:rsidR="002700DC" w:rsidRPr="002700DC" w:rsidRDefault="002700DC" w:rsidP="002700DC">
      <w:pPr>
        <w:rPr>
          <w:b/>
          <w:bCs/>
        </w:rPr>
      </w:pPr>
      <w:r w:rsidRPr="002700DC">
        <w:rPr>
          <w:b/>
          <w:bCs/>
        </w:rPr>
        <w:t>3. Differenzierte Betrachtung: Die nächste Welle der Gefährdung</w:t>
      </w:r>
    </w:p>
    <w:p w14:paraId="406A5959" w14:textId="77777777" w:rsidR="002700DC" w:rsidRPr="002700DC" w:rsidRDefault="002700DC" w:rsidP="002700DC">
      <w:r w:rsidRPr="002700DC">
        <w:t>Die Geschwindigkeit, mit der KI-Agenten von der Assistenz zur Autonomie übergehen, überholt derzeit die Reaktionszeit klassischer Unternehmensführungen. Die Disruption verlagert sich von einfachen Text-Tasks auf komplexe, regelbasierte Entscheidungsprozesse.</w:t>
      </w:r>
    </w:p>
    <w:p w14:paraId="196309D7" w14:textId="77777777" w:rsidR="000E4689" w:rsidRDefault="002700DC" w:rsidP="002700DC">
      <w:r w:rsidRPr="002700DC">
        <w:t xml:space="preserve">Besonders kritisch sind die Akzente der verschiedenen Analyse-Einheiten zu bewerten: Grok identifiziert einen Automatisierungsgrad von bereits </w:t>
      </w:r>
      <w:r w:rsidRPr="002700DC">
        <w:rPr>
          <w:b/>
          <w:bCs/>
        </w:rPr>
        <w:t>85 % bei Finanzdienstleistungen</w:t>
      </w:r>
      <w:r w:rsidRPr="002700DC">
        <w:t xml:space="preserve"> (</w:t>
      </w:r>
      <w:proofErr w:type="spellStart"/>
      <w:r w:rsidRPr="002700DC">
        <w:t>Underwriting</w:t>
      </w:r>
      <w:proofErr w:type="spellEnd"/>
      <w:r w:rsidRPr="002700DC">
        <w:t xml:space="preserve">, Trading, Compliance) und </w:t>
      </w:r>
      <w:r w:rsidRPr="002700DC">
        <w:rPr>
          <w:b/>
          <w:bCs/>
        </w:rPr>
        <w:t>60 % in der Logistik</w:t>
      </w:r>
      <w:r w:rsidRPr="002700DC">
        <w:t xml:space="preserve"> (</w:t>
      </w:r>
      <w:proofErr w:type="spellStart"/>
      <w:r w:rsidRPr="002700DC">
        <w:t>Dispatching</w:t>
      </w:r>
      <w:proofErr w:type="spellEnd"/>
      <w:r w:rsidRPr="002700DC">
        <w:t xml:space="preserve">, </w:t>
      </w:r>
      <w:proofErr w:type="spellStart"/>
      <w:r w:rsidRPr="002700DC">
        <w:t>Exception</w:t>
      </w:r>
      <w:proofErr w:type="spellEnd"/>
      <w:r w:rsidRPr="002700DC">
        <w:t xml:space="preserve">-Handling). </w:t>
      </w:r>
    </w:p>
    <w:p w14:paraId="4AF28279" w14:textId="21E9976E" w:rsidR="002700DC" w:rsidRPr="002700DC" w:rsidRDefault="002700DC" w:rsidP="002700DC">
      <w:r w:rsidRPr="002700DC">
        <w:t xml:space="preserve">Kimi warnt zudem vor einem spezifischen </w:t>
      </w:r>
      <w:r w:rsidRPr="002700DC">
        <w:rPr>
          <w:b/>
          <w:bCs/>
        </w:rPr>
        <w:t>„Chip-Design-Paradox“</w:t>
      </w:r>
      <w:r w:rsidRPr="002700DC">
        <w:t>: Obwohl der Bedarf an Halbleitern explodiert, könnten KI-basierte Design-Tools die Dominanz etablierter Player brechen, indem sie den Forschungs- und Entwicklungsvorsprung durch algorithmische Optimierung demokratisieren.</w:t>
      </w:r>
    </w:p>
    <w:p w14:paraId="54843F50" w14:textId="77777777" w:rsidR="002700DC" w:rsidRPr="002700DC" w:rsidRDefault="002700DC" w:rsidP="002700DC">
      <w:r w:rsidRPr="002700DC">
        <w:rPr>
          <w:b/>
          <w:bCs/>
        </w:rPr>
        <w:t>Die Liste der gefährdeten Sektoren erweitert sich:</w:t>
      </w:r>
    </w:p>
    <w:p w14:paraId="707DB45B" w14:textId="77777777" w:rsidR="002700DC" w:rsidRPr="002700DC" w:rsidRDefault="002700DC" w:rsidP="002700DC">
      <w:pPr>
        <w:numPr>
          <w:ilvl w:val="0"/>
          <w:numId w:val="120"/>
        </w:numPr>
      </w:pPr>
      <w:r w:rsidRPr="002700DC">
        <w:rPr>
          <w:b/>
          <w:bCs/>
        </w:rPr>
        <w:t>IT-Dienstleistungen &amp; Outsourcing:</w:t>
      </w:r>
      <w:r w:rsidRPr="002700DC">
        <w:t xml:space="preserve"> Unternehmen wie </w:t>
      </w:r>
      <w:proofErr w:type="spellStart"/>
      <w:r w:rsidRPr="002700DC">
        <w:t>Tata</w:t>
      </w:r>
      <w:proofErr w:type="spellEnd"/>
      <w:r w:rsidRPr="002700DC">
        <w:t xml:space="preserve"> </w:t>
      </w:r>
      <w:proofErr w:type="spellStart"/>
      <w:r w:rsidRPr="002700DC">
        <w:t>Consultancy</w:t>
      </w:r>
      <w:proofErr w:type="spellEnd"/>
      <w:r w:rsidRPr="002700DC">
        <w:t xml:space="preserve"> oder Infosys geraten unter Druck, da Implementierungszeiten von Monaten auf Tage schrumpfen.</w:t>
      </w:r>
    </w:p>
    <w:p w14:paraId="217CEE2A" w14:textId="77777777" w:rsidR="002700DC" w:rsidRPr="002700DC" w:rsidRDefault="002700DC" w:rsidP="002700DC">
      <w:pPr>
        <w:numPr>
          <w:ilvl w:val="0"/>
          <w:numId w:val="120"/>
        </w:numPr>
      </w:pPr>
      <w:r w:rsidRPr="002700DC">
        <w:rPr>
          <w:b/>
          <w:bCs/>
        </w:rPr>
        <w:t>Legal Tech &amp; Professional Services:</w:t>
      </w:r>
      <w:r w:rsidRPr="002700DC">
        <w:t xml:space="preserve"> Anbieter standardisierter Beratung leiden unter dem Preisdruck durch autonome Agenten, die 70–80 % der Recherche übernehmen.</w:t>
      </w:r>
    </w:p>
    <w:p w14:paraId="50C97256" w14:textId="77777777" w:rsidR="002700DC" w:rsidRPr="002700DC" w:rsidRDefault="002700DC" w:rsidP="002700DC">
      <w:pPr>
        <w:numPr>
          <w:ilvl w:val="0"/>
          <w:numId w:val="120"/>
        </w:numPr>
      </w:pPr>
      <w:r w:rsidRPr="002700DC">
        <w:rPr>
          <w:b/>
          <w:bCs/>
        </w:rPr>
        <w:t>Retail &amp; Marketing-Automation:</w:t>
      </w:r>
      <w:r w:rsidRPr="002700DC">
        <w:t xml:space="preserve"> Wenn KI-Systeme Kampagnen vollautonom erstellen und optimieren, verlieren teure Plattform-Suiten (Salesforce, </w:t>
      </w:r>
      <w:proofErr w:type="spellStart"/>
      <w:r w:rsidRPr="002700DC">
        <w:t>HubSpot</w:t>
      </w:r>
      <w:proofErr w:type="spellEnd"/>
      <w:r w:rsidRPr="002700DC">
        <w:t>) ihre Daseinsberechtigung als reine „Werkzeugkästen“.</w:t>
      </w:r>
    </w:p>
    <w:p w14:paraId="5B34261B" w14:textId="77777777" w:rsidR="002700DC" w:rsidRPr="002700DC" w:rsidRDefault="002700DC" w:rsidP="002700DC">
      <w:r w:rsidRPr="002700DC">
        <w:rPr>
          <w:b/>
          <w:bCs/>
        </w:rPr>
        <w:t xml:space="preserve">Der „So </w:t>
      </w:r>
      <w:proofErr w:type="spellStart"/>
      <w:r w:rsidRPr="002700DC">
        <w:rPr>
          <w:b/>
          <w:bCs/>
        </w:rPr>
        <w:t>What</w:t>
      </w:r>
      <w:proofErr w:type="spellEnd"/>
      <w:r w:rsidRPr="002700DC">
        <w:rPr>
          <w:b/>
          <w:bCs/>
        </w:rPr>
        <w:t>?“-Faktor:</w:t>
      </w:r>
      <w:r w:rsidRPr="002700DC">
        <w:t xml:space="preserve"> Die entscheidende Verschiebung findet von „Seat-</w:t>
      </w:r>
      <w:proofErr w:type="spellStart"/>
      <w:r w:rsidRPr="002700DC">
        <w:t>based</w:t>
      </w:r>
      <w:proofErr w:type="spellEnd"/>
      <w:r w:rsidRPr="002700DC">
        <w:t xml:space="preserve"> Licensing“ hin zu </w:t>
      </w:r>
      <w:r w:rsidRPr="002700DC">
        <w:rPr>
          <w:b/>
          <w:bCs/>
        </w:rPr>
        <w:t>„Outcome-</w:t>
      </w:r>
      <w:proofErr w:type="spellStart"/>
      <w:r w:rsidRPr="002700DC">
        <w:rPr>
          <w:b/>
          <w:bCs/>
        </w:rPr>
        <w:t>as</w:t>
      </w:r>
      <w:proofErr w:type="spellEnd"/>
      <w:r w:rsidRPr="002700DC">
        <w:rPr>
          <w:b/>
          <w:bCs/>
        </w:rPr>
        <w:t>-a-Service“</w:t>
      </w:r>
      <w:r w:rsidRPr="002700DC">
        <w:t xml:space="preserve"> statt. Wenn ein Unternehmen nicht mehr pro Software-Nutzer zahlt, sondern nur noch für das erzielte Ergebnis, bricht das Cashflow-Profil klassischer Enterprise-Software zusammen. Ein massiver Personalabbau bei Kunden (White-Collar-Entlassungen) führt direkt zum Wegfall von Lizenzeinnahmen – eine tödliche Abwärtsspirale für Legacy-SaaS.</w:t>
      </w:r>
    </w:p>
    <w:p w14:paraId="7AA6C3FB" w14:textId="77777777" w:rsidR="002700DC" w:rsidRPr="002700DC" w:rsidRDefault="002700DC" w:rsidP="002700DC">
      <w:r w:rsidRPr="002700DC">
        <w:t xml:space="preserve">-------------------------------------------------------------------------------- </w:t>
      </w:r>
    </w:p>
    <w:p w14:paraId="6AB95CC8" w14:textId="77777777" w:rsidR="002700DC" w:rsidRPr="002700DC" w:rsidRDefault="002700DC" w:rsidP="002700DC">
      <w:pPr>
        <w:rPr>
          <w:b/>
          <w:bCs/>
        </w:rPr>
      </w:pPr>
      <w:r w:rsidRPr="002700DC">
        <w:rPr>
          <w:b/>
          <w:bCs/>
        </w:rPr>
        <w:t>4. Strategische Filter für die langfristige Aktienauswahl</w:t>
      </w:r>
    </w:p>
    <w:p w14:paraId="6429545F" w14:textId="77777777" w:rsidR="002700DC" w:rsidRDefault="002700DC" w:rsidP="002700DC">
      <w:r w:rsidRPr="002700DC">
        <w:t xml:space="preserve">Anleger müssen ihren Analyserahmen fundamental revidieren. In Zeiten, in denen Geschäftsmodelle innerhalb von 6 bis 18 Monaten erodieren können, tritt die Bewertung der </w:t>
      </w:r>
      <w:r w:rsidRPr="002700DC">
        <w:rPr>
          <w:b/>
          <w:bCs/>
        </w:rPr>
        <w:t>Antifragilität</w:t>
      </w:r>
      <w:r w:rsidRPr="002700DC">
        <w:t xml:space="preserve"> an die Stelle traditioneller KGVs.</w:t>
      </w:r>
    </w:p>
    <w:p w14:paraId="6AA91FAF" w14:textId="757EE8C7" w:rsidR="000E4689" w:rsidRPr="002700DC" w:rsidRDefault="000E4689" w:rsidP="002700DC">
      <w:r w:rsidRPr="000E4689">
        <w:rPr>
          <w:b/>
          <w:bCs/>
        </w:rPr>
        <w:lastRenderedPageBreak/>
        <w:t>Tipp</w:t>
      </w:r>
      <w:r>
        <w:t xml:space="preserve">: Für jede Einzel-Aktienanlage (oder beabsichtigten Kauf) führe mit Hilfe eines KI-Tools deiner Wahl / oder mit der „Lars-KI“ folgende Abfragen durch. Einfach </w:t>
      </w:r>
      <w:proofErr w:type="spellStart"/>
      <w:r>
        <w:t>Copy&amp;Paste</w:t>
      </w:r>
      <w:proofErr w:type="spellEnd"/>
      <w:r>
        <w:t xml:space="preserve"> mit Nennung deiner Aktienauswahl.</w:t>
      </w:r>
      <w:r>
        <w:br/>
        <w:t>--------</w:t>
      </w:r>
    </w:p>
    <w:p w14:paraId="2096BA0C" w14:textId="77777777" w:rsidR="002700DC" w:rsidRPr="002700DC" w:rsidRDefault="002700DC" w:rsidP="002700DC">
      <w:r w:rsidRPr="002700DC">
        <w:rPr>
          <w:b/>
          <w:bCs/>
        </w:rPr>
        <w:t>Checkliste für die moderne Aktienselektion:</w:t>
      </w:r>
    </w:p>
    <w:p w14:paraId="516C29A9" w14:textId="6E2B10D3" w:rsidR="002700DC" w:rsidRPr="002700DC" w:rsidRDefault="002700DC" w:rsidP="002700DC">
      <w:pPr>
        <w:numPr>
          <w:ilvl w:val="0"/>
          <w:numId w:val="121"/>
        </w:numPr>
      </w:pPr>
      <w:r w:rsidRPr="002700DC">
        <w:rPr>
          <w:b/>
          <w:bCs/>
        </w:rPr>
        <w:t>KI-Rollen-Check:</w:t>
      </w:r>
      <w:r w:rsidRPr="002700DC">
        <w:t xml:space="preserve"> Agiert das Unternehmen als „KI-</w:t>
      </w:r>
      <w:proofErr w:type="spellStart"/>
      <w:r w:rsidRPr="002700DC">
        <w:t>Enabler</w:t>
      </w:r>
      <w:proofErr w:type="spellEnd"/>
      <w:r w:rsidRPr="002700DC">
        <w:t>“ (Infrastruktur-Gewinner) oder ist das Kernprodukt ein „KI-Opfer“ (durch Algorithmen ersetzbar)?</w:t>
      </w:r>
    </w:p>
    <w:p w14:paraId="3D87274A" w14:textId="68D249B4" w:rsidR="002700DC" w:rsidRPr="002700DC" w:rsidRDefault="002700DC" w:rsidP="002700DC">
      <w:pPr>
        <w:numPr>
          <w:ilvl w:val="0"/>
          <w:numId w:val="121"/>
        </w:numPr>
      </w:pPr>
      <w:r w:rsidRPr="002700DC">
        <w:rPr>
          <w:b/>
          <w:bCs/>
        </w:rPr>
        <w:t>Abrechnungsmodell:</w:t>
      </w:r>
      <w:r w:rsidRPr="002700DC">
        <w:t xml:space="preserve"> Besteht eine Abhängigkeit von Mitarbeiterzahlen (riskant) oder erfolgt die Monetarisierung pro Transaktion/Outcome (stabil)?</w:t>
      </w:r>
    </w:p>
    <w:p w14:paraId="04FB1522" w14:textId="0D1B333B" w:rsidR="002700DC" w:rsidRPr="002700DC" w:rsidRDefault="002700DC" w:rsidP="002700DC">
      <w:pPr>
        <w:numPr>
          <w:ilvl w:val="0"/>
          <w:numId w:val="121"/>
        </w:numPr>
      </w:pPr>
      <w:r w:rsidRPr="002700DC">
        <w:rPr>
          <w:b/>
          <w:bCs/>
        </w:rPr>
        <w:t>Proprietäre Datennetze:</w:t>
      </w:r>
      <w:r w:rsidRPr="002700DC">
        <w:t xml:space="preserve"> Verfügt das Unternehmen über exklusive Daten, die nicht durch öffentliche LLMs replizierbar sind?</w:t>
      </w:r>
    </w:p>
    <w:p w14:paraId="2F666543" w14:textId="0B2F0E4D" w:rsidR="002700DC" w:rsidRPr="002700DC" w:rsidRDefault="002700DC" w:rsidP="002700DC">
      <w:pPr>
        <w:numPr>
          <w:ilvl w:val="0"/>
          <w:numId w:val="121"/>
        </w:numPr>
      </w:pPr>
      <w:r w:rsidRPr="002700DC">
        <w:rPr>
          <w:b/>
          <w:bCs/>
        </w:rPr>
        <w:t>Management-Agilität (Die 5-2-3-Regel):</w:t>
      </w:r>
      <w:r w:rsidRPr="002700DC">
        <w:t xml:space="preserve"> Kann das Management die Kapitalallokation in Unsicherheit quantifizieren? (Beispiel: Test von 5 KI-Anwendungen, Skalierung von 2, sofortiger Stopp von 3 bei mangelndem ROI).</w:t>
      </w:r>
    </w:p>
    <w:p w14:paraId="06477FC1" w14:textId="6D671DEA" w:rsidR="002700DC" w:rsidRDefault="002700DC" w:rsidP="002700DC">
      <w:pPr>
        <w:numPr>
          <w:ilvl w:val="0"/>
          <w:numId w:val="121"/>
        </w:numPr>
      </w:pPr>
      <w:r w:rsidRPr="002700DC">
        <w:rPr>
          <w:b/>
          <w:bCs/>
        </w:rPr>
        <w:t>Finanzielle Resilienz:</w:t>
      </w:r>
      <w:r w:rsidRPr="002700DC">
        <w:t xml:space="preserve"> Zeigt das Unternehmen eine stabile Free-Cash-Flow-Entwicklung (FCF) trotz notwendiger hoher KI-Investitionen?</w:t>
      </w:r>
    </w:p>
    <w:p w14:paraId="44705DD2" w14:textId="020406F3" w:rsidR="000E4689" w:rsidRPr="002700DC" w:rsidRDefault="000E4689" w:rsidP="000E4689">
      <w:r>
        <w:t>---------</w:t>
      </w:r>
    </w:p>
    <w:p w14:paraId="7FFCBC5E" w14:textId="77777777" w:rsidR="002700DC" w:rsidRPr="002700DC" w:rsidRDefault="002700DC" w:rsidP="002700DC">
      <w:r w:rsidRPr="002700DC">
        <w:rPr>
          <w:b/>
          <w:bCs/>
        </w:rPr>
        <w:t xml:space="preserve">Der „So </w:t>
      </w:r>
      <w:proofErr w:type="spellStart"/>
      <w:r w:rsidRPr="002700DC">
        <w:rPr>
          <w:b/>
          <w:bCs/>
        </w:rPr>
        <w:t>What</w:t>
      </w:r>
      <w:proofErr w:type="spellEnd"/>
      <w:r w:rsidRPr="002700DC">
        <w:rPr>
          <w:b/>
          <w:bCs/>
        </w:rPr>
        <w:t>?“-Faktor:</w:t>
      </w:r>
      <w:r w:rsidRPr="002700DC">
        <w:t xml:space="preserve"> Management-Qualität wird 2026 an der </w:t>
      </w:r>
      <w:r w:rsidRPr="002700DC">
        <w:rPr>
          <w:b/>
          <w:bCs/>
        </w:rPr>
        <w:t>M&amp;A-Disziplin</w:t>
      </w:r>
      <w:r w:rsidRPr="002700DC">
        <w:t xml:space="preserve"> gemessen. Unternehmen, die aus Panik überteuerte KI-Startups kaufen, ohne einen klaren ROI nachzuweisen, gehören auf die Verkaufsliste. Die bloße Erwähnung von „AI“ in Geschäftsberichten ist heute ein Warnsignal, kein Kaufargument.</w:t>
      </w:r>
    </w:p>
    <w:p w14:paraId="1DD35744" w14:textId="77777777" w:rsidR="002700DC" w:rsidRPr="002700DC" w:rsidRDefault="002700DC" w:rsidP="002700DC">
      <w:r w:rsidRPr="002700DC">
        <w:t xml:space="preserve">-------------------------------------------------------------------------------- </w:t>
      </w:r>
    </w:p>
    <w:p w14:paraId="4FC77B95" w14:textId="77777777" w:rsidR="002700DC" w:rsidRPr="002700DC" w:rsidRDefault="002700DC" w:rsidP="002700DC">
      <w:pPr>
        <w:rPr>
          <w:b/>
          <w:bCs/>
        </w:rPr>
      </w:pPr>
      <w:r w:rsidRPr="002700DC">
        <w:rPr>
          <w:b/>
          <w:bCs/>
        </w:rPr>
        <w:t>5. Index-</w:t>
      </w:r>
      <w:proofErr w:type="spellStart"/>
      <w:r w:rsidRPr="002700DC">
        <w:rPr>
          <w:b/>
          <w:bCs/>
        </w:rPr>
        <w:t>Investing</w:t>
      </w:r>
      <w:proofErr w:type="spellEnd"/>
      <w:r w:rsidRPr="002700DC">
        <w:rPr>
          <w:b/>
          <w:bCs/>
        </w:rPr>
        <w:t xml:space="preserve"> vs. Stock-Picking in der KI-Ära</w:t>
      </w:r>
    </w:p>
    <w:p w14:paraId="32DCDF97" w14:textId="77777777" w:rsidR="002700DC" w:rsidRPr="002700DC" w:rsidRDefault="002700DC" w:rsidP="002700DC">
      <w:r w:rsidRPr="002700DC">
        <w:t>Das strategische Dilemma des Anlegers liegt in der Abwägung zwischen der Gefahr, in eine „Legacy-Falle“ zu tappen, und der Chance auf die Partizipation an den neuen Gewinnern.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43"/>
        <w:gridCol w:w="4128"/>
        <w:gridCol w:w="3785"/>
      </w:tblGrid>
      <w:tr w:rsidR="002700DC" w:rsidRPr="002700DC" w14:paraId="4689EF15"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5E7A833D" w14:textId="77777777" w:rsidR="002700DC" w:rsidRPr="002700DC" w:rsidRDefault="002700DC" w:rsidP="002700DC">
            <w:r w:rsidRPr="002700DC">
              <w:t>Strategie</w:t>
            </w:r>
          </w:p>
        </w:tc>
        <w:tc>
          <w:tcPr>
            <w:tcW w:w="0" w:type="auto"/>
            <w:tcBorders>
              <w:top w:val="outset" w:sz="6" w:space="0" w:color="auto"/>
              <w:left w:val="outset" w:sz="6" w:space="0" w:color="auto"/>
              <w:bottom w:val="outset" w:sz="6" w:space="0" w:color="auto"/>
              <w:right w:val="outset" w:sz="6" w:space="0" w:color="auto"/>
            </w:tcBorders>
            <w:vAlign w:val="center"/>
            <w:hideMark/>
          </w:tcPr>
          <w:p w14:paraId="1D099DC5" w14:textId="77777777" w:rsidR="002700DC" w:rsidRPr="002700DC" w:rsidRDefault="002700DC" w:rsidP="002700DC">
            <w:r w:rsidRPr="002700DC">
              <w:t>Vorteile</w:t>
            </w:r>
          </w:p>
        </w:tc>
        <w:tc>
          <w:tcPr>
            <w:tcW w:w="0" w:type="auto"/>
            <w:tcBorders>
              <w:top w:val="outset" w:sz="6" w:space="0" w:color="auto"/>
              <w:left w:val="outset" w:sz="6" w:space="0" w:color="auto"/>
              <w:bottom w:val="outset" w:sz="6" w:space="0" w:color="auto"/>
              <w:right w:val="outset" w:sz="6" w:space="0" w:color="auto"/>
            </w:tcBorders>
            <w:vAlign w:val="center"/>
            <w:hideMark/>
          </w:tcPr>
          <w:p w14:paraId="14F6438B" w14:textId="77777777" w:rsidR="002700DC" w:rsidRPr="002700DC" w:rsidRDefault="002700DC" w:rsidP="002700DC">
            <w:r w:rsidRPr="002700DC">
              <w:t>Risiken / Nachteile</w:t>
            </w:r>
          </w:p>
        </w:tc>
      </w:tr>
      <w:tr w:rsidR="002700DC" w:rsidRPr="002700DC" w14:paraId="744E6750"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34A5CC53" w14:textId="77777777" w:rsidR="002700DC" w:rsidRPr="002700DC" w:rsidRDefault="002700DC" w:rsidP="002700DC">
            <w:r w:rsidRPr="002700DC">
              <w:rPr>
                <w:b/>
                <w:bCs/>
              </w:rPr>
              <w:t>Index-</w:t>
            </w:r>
            <w:proofErr w:type="spellStart"/>
            <w:r w:rsidRPr="002700DC">
              <w:rPr>
                <w:b/>
                <w:bCs/>
              </w:rPr>
              <w:t>Investing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79C61DF" w14:textId="77777777" w:rsidR="002700DC" w:rsidRPr="002700DC" w:rsidRDefault="002700DC" w:rsidP="002700DC">
            <w:proofErr w:type="spellStart"/>
            <w:r w:rsidRPr="002700DC">
              <w:rPr>
                <w:b/>
                <w:bCs/>
              </w:rPr>
              <w:t>Survivorship</w:t>
            </w:r>
            <w:proofErr w:type="spellEnd"/>
            <w:r w:rsidRPr="002700DC">
              <w:rPr>
                <w:b/>
                <w:bCs/>
              </w:rPr>
              <w:t>-Bias:</w:t>
            </w:r>
            <w:r w:rsidRPr="002700DC">
              <w:t xml:space="preserve"> Verlierer werden automatisch aussortiert. Glättung idiosynkratischer Risiken (z.B. plötzliche Disruption eines Einzelwerts).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5637A0F" w14:textId="77777777" w:rsidR="002700DC" w:rsidRPr="002700DC" w:rsidRDefault="002700DC" w:rsidP="002700DC">
            <w:r w:rsidRPr="002700DC">
              <w:rPr>
                <w:b/>
                <w:bCs/>
              </w:rPr>
              <w:t>Sektor-Konzentration:</w:t>
            </w:r>
            <w:r w:rsidRPr="002700DC">
              <w:t xml:space="preserve"> Ein klassischer S&amp;P 500 oder Nasdaq ist </w:t>
            </w:r>
            <w:proofErr w:type="spellStart"/>
            <w:r w:rsidRPr="002700DC">
              <w:t>tech</w:t>
            </w:r>
            <w:proofErr w:type="spellEnd"/>
            <w:r w:rsidRPr="002700DC">
              <w:t>-lastig und schleppt viele SaaS-Verlierer mit.</w:t>
            </w:r>
          </w:p>
        </w:tc>
      </w:tr>
      <w:tr w:rsidR="002700DC" w:rsidRPr="002700DC" w14:paraId="2EC15F51"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7EDE6E68" w14:textId="77777777" w:rsidR="002700DC" w:rsidRPr="002700DC" w:rsidRDefault="002700DC" w:rsidP="002700DC">
            <w:r w:rsidRPr="002700DC">
              <w:rPr>
                <w:b/>
                <w:bCs/>
              </w:rPr>
              <w:lastRenderedPageBreak/>
              <w:t>Stock-Picking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E7FD9" w14:textId="77777777" w:rsidR="002700DC" w:rsidRPr="002700DC" w:rsidRDefault="002700DC" w:rsidP="002700DC">
            <w:r w:rsidRPr="002700DC">
              <w:t>Potenzial für extreme Outperformance bei KI-Infrastruktur-Gewinnern und „Hidden Champions“ mit physischem Moat.</w:t>
            </w:r>
          </w:p>
        </w:tc>
        <w:tc>
          <w:tcPr>
            <w:tcW w:w="0" w:type="auto"/>
            <w:tcBorders>
              <w:top w:val="outset" w:sz="6" w:space="0" w:color="auto"/>
              <w:left w:val="outset" w:sz="6" w:space="0" w:color="auto"/>
              <w:bottom w:val="outset" w:sz="6" w:space="0" w:color="auto"/>
              <w:right w:val="outset" w:sz="6" w:space="0" w:color="auto"/>
            </w:tcBorders>
            <w:vAlign w:val="center"/>
            <w:hideMark/>
          </w:tcPr>
          <w:p w14:paraId="16BB693F" w14:textId="77777777" w:rsidR="002700DC" w:rsidRPr="002700DC" w:rsidRDefault="002700DC" w:rsidP="002700DC">
            <w:r w:rsidRPr="002700DC">
              <w:rPr>
                <w:b/>
                <w:bCs/>
              </w:rPr>
              <w:t>Systemisches Risiko:</w:t>
            </w:r>
            <w:r w:rsidRPr="002700DC">
              <w:t xml:space="preserve"> Disruption ist kein Branchenevent mehr, sondern ein Makro-Faktor, der manuelle Analysen schnell überholt.</w:t>
            </w:r>
          </w:p>
        </w:tc>
      </w:tr>
    </w:tbl>
    <w:p w14:paraId="4D47E3E6" w14:textId="77777777" w:rsidR="000E4689" w:rsidRDefault="000E4689" w:rsidP="002700DC">
      <w:pPr>
        <w:rPr>
          <w:b/>
          <w:bCs/>
        </w:rPr>
      </w:pPr>
    </w:p>
    <w:p w14:paraId="4B728090" w14:textId="6F8B47A1" w:rsidR="002700DC" w:rsidRPr="002700DC" w:rsidRDefault="002700DC" w:rsidP="002700DC">
      <w:r w:rsidRPr="002700DC">
        <w:rPr>
          <w:b/>
          <w:bCs/>
        </w:rPr>
        <w:t xml:space="preserve">Der „So </w:t>
      </w:r>
      <w:proofErr w:type="spellStart"/>
      <w:r w:rsidRPr="002700DC">
        <w:rPr>
          <w:b/>
          <w:bCs/>
        </w:rPr>
        <w:t>What</w:t>
      </w:r>
      <w:proofErr w:type="spellEnd"/>
      <w:r w:rsidRPr="002700DC">
        <w:rPr>
          <w:b/>
          <w:bCs/>
        </w:rPr>
        <w:t>?“-Faktor:</w:t>
      </w:r>
      <w:r w:rsidRPr="002700DC">
        <w:t xml:space="preserve"> Da die Disruption ein systemisches Ereignis ist, wird Diversifikation zur Überlebenspflicht. Ein „blinder“ Kauf des Nasdaq 100 ist 2026 gefährlicher denn je. Die Lösung liegt in einer bewussten Rotation weg von marktkapitalisierungsgewichteten Tech-Indizes hin zu substanzorientierten Ansätzen.</w:t>
      </w:r>
    </w:p>
    <w:p w14:paraId="02BB01DD" w14:textId="77777777" w:rsidR="002700DC" w:rsidRPr="002700DC" w:rsidRDefault="002700DC" w:rsidP="002700DC">
      <w:r w:rsidRPr="002700DC">
        <w:t xml:space="preserve">-------------------------------------------------------------------------------- </w:t>
      </w:r>
    </w:p>
    <w:p w14:paraId="5B431DD3" w14:textId="77777777" w:rsidR="002700DC" w:rsidRPr="002700DC" w:rsidRDefault="002700DC" w:rsidP="002700DC">
      <w:pPr>
        <w:rPr>
          <w:b/>
          <w:bCs/>
        </w:rPr>
      </w:pPr>
      <w:r w:rsidRPr="002700DC">
        <w:rPr>
          <w:b/>
          <w:bCs/>
        </w:rPr>
        <w:t>6. Handlungsempfehlung für mittel- bis langfristige Anleger</w:t>
      </w:r>
    </w:p>
    <w:p w14:paraId="38DC1DBE" w14:textId="77777777" w:rsidR="002700DC" w:rsidRDefault="002700DC" w:rsidP="002700DC">
      <w:r w:rsidRPr="002700DC">
        <w:t>Der Übergang von der Analyse zur Exekution erfordert radikale Anpassungsfähigkeit. Das größte Risiko ist das Festhalten an Geschäftsmodellen, die ihre ökonomische Rente bereits verloren haben.</w:t>
      </w:r>
    </w:p>
    <w:p w14:paraId="2134BB84" w14:textId="55F176B5" w:rsidR="000E4689" w:rsidRDefault="000E4689" w:rsidP="002700DC">
      <w:r w:rsidRPr="000E4689">
        <w:rPr>
          <w:b/>
          <w:bCs/>
        </w:rPr>
        <w:t>Wichtige Anmerkung</w:t>
      </w:r>
      <w:proofErr w:type="gramStart"/>
      <w:r>
        <w:rPr>
          <w:b/>
          <w:bCs/>
        </w:rPr>
        <w:t xml:space="preserve">! </w:t>
      </w:r>
      <w:r>
        <w:t>:</w:t>
      </w:r>
      <w:proofErr w:type="gramEnd"/>
      <w:r>
        <w:t xml:space="preserve"> Die folgende Aufteilung gilt als allgemeine Orientierung nur für die Anlageklasse Aktien (ohne individuelle Besonderheiten)</w:t>
      </w:r>
    </w:p>
    <w:p w14:paraId="36BEDB63" w14:textId="77777777" w:rsidR="000E4689" w:rsidRPr="002700DC" w:rsidRDefault="000E4689" w:rsidP="002700DC"/>
    <w:p w14:paraId="6F6DD6B1" w14:textId="77777777" w:rsidR="002700DC" w:rsidRPr="002700DC" w:rsidRDefault="002700DC" w:rsidP="002700DC">
      <w:r w:rsidRPr="002700DC">
        <w:rPr>
          <w:b/>
          <w:bCs/>
        </w:rPr>
        <w:t>Empfohlenes Modell-Portfolio (Core-</w:t>
      </w:r>
      <w:proofErr w:type="spellStart"/>
      <w:r w:rsidRPr="002700DC">
        <w:rPr>
          <w:b/>
          <w:bCs/>
        </w:rPr>
        <w:t>Satellite</w:t>
      </w:r>
      <w:proofErr w:type="spellEnd"/>
      <w:r w:rsidRPr="002700DC">
        <w:rPr>
          <w:b/>
          <w:bCs/>
        </w:rPr>
        <w:t>-Ansatz):</w:t>
      </w:r>
    </w:p>
    <w:p w14:paraId="63D227E1" w14:textId="77777777" w:rsidR="002700DC" w:rsidRPr="002700DC" w:rsidRDefault="002700DC" w:rsidP="002700DC">
      <w:pPr>
        <w:numPr>
          <w:ilvl w:val="0"/>
          <w:numId w:val="122"/>
        </w:numPr>
      </w:pPr>
      <w:r w:rsidRPr="002700DC">
        <w:rPr>
          <w:b/>
          <w:bCs/>
        </w:rPr>
        <w:t>Core (60–70 %):</w:t>
      </w:r>
      <w:r w:rsidRPr="002700DC">
        <w:t xml:space="preserve"> Breite, defensiv ausgerichtete Indizes. Empfohlen werden </w:t>
      </w:r>
      <w:r w:rsidRPr="002700DC">
        <w:rPr>
          <w:b/>
          <w:bCs/>
        </w:rPr>
        <w:t>MSCI World Value</w:t>
      </w:r>
      <w:r w:rsidRPr="002700DC">
        <w:t xml:space="preserve"> oder </w:t>
      </w:r>
      <w:proofErr w:type="spellStart"/>
      <w:r w:rsidRPr="002700DC">
        <w:rPr>
          <w:b/>
          <w:bCs/>
        </w:rPr>
        <w:t>Equal</w:t>
      </w:r>
      <w:proofErr w:type="spellEnd"/>
      <w:r w:rsidRPr="002700DC">
        <w:rPr>
          <w:b/>
          <w:bCs/>
        </w:rPr>
        <w:t>-</w:t>
      </w:r>
      <w:proofErr w:type="spellStart"/>
      <w:r w:rsidRPr="002700DC">
        <w:rPr>
          <w:b/>
          <w:bCs/>
        </w:rPr>
        <w:t>Weighted</w:t>
      </w:r>
      <w:proofErr w:type="spellEnd"/>
      <w:r w:rsidRPr="002700DC">
        <w:rPr>
          <w:b/>
          <w:bCs/>
        </w:rPr>
        <w:t>-Indizes</w:t>
      </w:r>
      <w:r w:rsidRPr="002700DC">
        <w:t>, um die Klumpenrisiken der großen, gefährdeten Tech-Werte zu minimieren und von der Stabilität der Realwirtschaft zu profitieren.</w:t>
      </w:r>
    </w:p>
    <w:p w14:paraId="1050CC04" w14:textId="77777777" w:rsidR="002700DC" w:rsidRPr="002700DC" w:rsidRDefault="002700DC" w:rsidP="002700DC">
      <w:pPr>
        <w:numPr>
          <w:ilvl w:val="0"/>
          <w:numId w:val="122"/>
        </w:numPr>
      </w:pPr>
      <w:r w:rsidRPr="002700DC">
        <w:rPr>
          <w:b/>
          <w:bCs/>
        </w:rPr>
        <w:t>Satelliten (20–30 %):</w:t>
      </w:r>
      <w:r w:rsidRPr="002700DC">
        <w:t xml:space="preserve"> Gezielte Allokation in Sektoren mit „Rückenwind“:</w:t>
      </w:r>
    </w:p>
    <w:p w14:paraId="06AF70CD" w14:textId="77777777" w:rsidR="002700DC" w:rsidRPr="002700DC" w:rsidRDefault="002700DC" w:rsidP="002700DC">
      <w:pPr>
        <w:numPr>
          <w:ilvl w:val="1"/>
          <w:numId w:val="122"/>
        </w:numPr>
      </w:pPr>
      <w:r w:rsidRPr="002700DC">
        <w:rPr>
          <w:b/>
          <w:bCs/>
        </w:rPr>
        <w:t>Energie-Infrastruktur:</w:t>
      </w:r>
      <w:r w:rsidRPr="002700DC">
        <w:t xml:space="preserve"> Fokus auf Datacenter-Versorgung.</w:t>
      </w:r>
    </w:p>
    <w:p w14:paraId="1387168E" w14:textId="77777777" w:rsidR="002700DC" w:rsidRPr="002700DC" w:rsidRDefault="002700DC" w:rsidP="002700DC">
      <w:pPr>
        <w:numPr>
          <w:ilvl w:val="1"/>
          <w:numId w:val="122"/>
        </w:numPr>
      </w:pPr>
      <w:proofErr w:type="spellStart"/>
      <w:r w:rsidRPr="002700DC">
        <w:rPr>
          <w:b/>
          <w:bCs/>
        </w:rPr>
        <w:t>Cybersecurity</w:t>
      </w:r>
      <w:proofErr w:type="spellEnd"/>
      <w:r w:rsidRPr="002700DC">
        <w:rPr>
          <w:b/>
          <w:bCs/>
        </w:rPr>
        <w:t>:</w:t>
      </w:r>
      <w:r w:rsidRPr="002700DC">
        <w:t xml:space="preserve"> Unverzichtbar in einer KI-gesteuerten Bedrohungslage.</w:t>
      </w:r>
    </w:p>
    <w:p w14:paraId="40791443" w14:textId="77777777" w:rsidR="002700DC" w:rsidRPr="002700DC" w:rsidRDefault="002700DC" w:rsidP="002700DC">
      <w:pPr>
        <w:numPr>
          <w:ilvl w:val="1"/>
          <w:numId w:val="122"/>
        </w:numPr>
      </w:pPr>
      <w:r w:rsidRPr="002700DC">
        <w:rPr>
          <w:b/>
          <w:bCs/>
        </w:rPr>
        <w:t>Kritische Rohstoffe:</w:t>
      </w:r>
      <w:r w:rsidRPr="002700DC">
        <w:t xml:space="preserve"> Physische Absicherung der KI-Hardware.</w:t>
      </w:r>
    </w:p>
    <w:p w14:paraId="000B1D8B" w14:textId="77777777" w:rsidR="002700DC" w:rsidRPr="002700DC" w:rsidRDefault="002700DC" w:rsidP="002700DC">
      <w:pPr>
        <w:numPr>
          <w:ilvl w:val="0"/>
          <w:numId w:val="122"/>
        </w:numPr>
      </w:pPr>
      <w:r w:rsidRPr="002700DC">
        <w:rPr>
          <w:b/>
          <w:bCs/>
        </w:rPr>
        <w:t>Liquidität (10 %):</w:t>
      </w:r>
      <w:r w:rsidRPr="002700DC">
        <w:t xml:space="preserve"> Cash für Opportunitäten, wenn Qualitätsunternehmen im Zuge der Panik unberechtigterweise abgestraft werden.</w:t>
      </w:r>
    </w:p>
    <w:p w14:paraId="33818D41" w14:textId="77777777" w:rsidR="00614722" w:rsidRDefault="00614722" w:rsidP="002700DC">
      <w:pPr>
        <w:rPr>
          <w:b/>
          <w:bCs/>
        </w:rPr>
      </w:pPr>
    </w:p>
    <w:p w14:paraId="457910BF" w14:textId="6FBE9B15" w:rsidR="002700DC" w:rsidRPr="002700DC" w:rsidRDefault="00614722" w:rsidP="002700DC">
      <w:r>
        <w:rPr>
          <w:b/>
          <w:bCs/>
        </w:rPr>
        <w:t>Zusammenfassung/</w:t>
      </w:r>
      <w:r w:rsidR="002700DC" w:rsidRPr="002700DC">
        <w:rPr>
          <w:b/>
          <w:bCs/>
        </w:rPr>
        <w:t>Fazit:</w:t>
      </w:r>
      <w:r w:rsidR="002700DC" w:rsidRPr="002700DC">
        <w:t xml:space="preserve"> Die „Creative </w:t>
      </w:r>
      <w:proofErr w:type="spellStart"/>
      <w:r w:rsidR="002700DC" w:rsidRPr="002700DC">
        <w:t>Destruction</w:t>
      </w:r>
      <w:proofErr w:type="spellEnd"/>
      <w:r w:rsidR="002700DC" w:rsidRPr="002700DC">
        <w:t>“ der KI-Ära beschleunigt sich. Überprüfe</w:t>
      </w:r>
      <w:r>
        <w:t xml:space="preserve"> dein</w:t>
      </w:r>
      <w:r w:rsidR="002700DC" w:rsidRPr="002700DC">
        <w:t xml:space="preserve"> Depot auf Abhängigkeiten von digitalen Dienstleistern ohne physische Verankerung. Der Wechsel zu einer hybriden Strategie aus substanzstarken Indizes und physisch abgesicherten Sektoren ist die einzig rationale Antwort. Verfall nicht in Panik, aber handel konsequent: Die Legacy-Falle schnappt lautlos zu.</w:t>
      </w:r>
    </w:p>
    <w:p w14:paraId="021DDB62" w14:textId="77777777" w:rsidR="002700DC" w:rsidRDefault="002700DC" w:rsidP="000C51AB"/>
    <w:p w14:paraId="1EF42E02" w14:textId="77777777" w:rsidR="002700DC" w:rsidRDefault="002700DC" w:rsidP="000C51AB"/>
    <w:p w14:paraId="7C740831" w14:textId="01DE5C7D" w:rsidR="002700DC" w:rsidRDefault="002700DC" w:rsidP="000C51AB">
      <w:r w:rsidRPr="002700DC">
        <w:drawing>
          <wp:inline distT="0" distB="0" distL="0" distR="0" wp14:anchorId="4A8EE407" wp14:editId="2AE55DFE">
            <wp:extent cx="5760720" cy="3127375"/>
            <wp:effectExtent l="0" t="0" r="0" b="0"/>
            <wp:docPr id="5983769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76981" name=""/>
                    <pic:cNvPicPr/>
                  </pic:nvPicPr>
                  <pic:blipFill>
                    <a:blip r:embed="rId6"/>
                    <a:stretch>
                      <a:fillRect/>
                    </a:stretch>
                  </pic:blipFill>
                  <pic:spPr>
                    <a:xfrm>
                      <a:off x="0" y="0"/>
                      <a:ext cx="5760720" cy="3127375"/>
                    </a:xfrm>
                    <a:prstGeom prst="rect">
                      <a:avLst/>
                    </a:prstGeom>
                  </pic:spPr>
                </pic:pic>
              </a:graphicData>
            </a:graphic>
          </wp:inline>
        </w:drawing>
      </w:r>
    </w:p>
    <w:p w14:paraId="47586290" w14:textId="77777777" w:rsidR="002700DC" w:rsidRDefault="002700DC" w:rsidP="000C51AB"/>
    <w:p w14:paraId="78621269" w14:textId="77777777" w:rsidR="002700DC" w:rsidRDefault="002700DC" w:rsidP="000C51AB"/>
    <w:p w14:paraId="4947D153" w14:textId="3C53B19D" w:rsidR="008E0812" w:rsidRPr="008E0812" w:rsidRDefault="000C51AB" w:rsidP="002700DC">
      <w:r>
        <w:br/>
      </w:r>
    </w:p>
    <w:p w14:paraId="59EE5A26" w14:textId="77777777" w:rsidR="008E0812" w:rsidRDefault="008E0812" w:rsidP="006770DF"/>
    <w:p w14:paraId="4DF71B3A" w14:textId="77777777" w:rsidR="006770DF" w:rsidRDefault="006770DF" w:rsidP="000C51AB"/>
    <w:sectPr w:rsidR="006770D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67F7"/>
    <w:multiLevelType w:val="multilevel"/>
    <w:tmpl w:val="76F6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E12E5"/>
    <w:multiLevelType w:val="multilevel"/>
    <w:tmpl w:val="04849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EE6A8F"/>
    <w:multiLevelType w:val="multilevel"/>
    <w:tmpl w:val="7C4E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02E8F"/>
    <w:multiLevelType w:val="multilevel"/>
    <w:tmpl w:val="DD28C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9B3ECA"/>
    <w:multiLevelType w:val="multilevel"/>
    <w:tmpl w:val="371C8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9031E"/>
    <w:multiLevelType w:val="multilevel"/>
    <w:tmpl w:val="AE40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B42799"/>
    <w:multiLevelType w:val="multilevel"/>
    <w:tmpl w:val="898E7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F1C9A"/>
    <w:multiLevelType w:val="multilevel"/>
    <w:tmpl w:val="E7A0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3A52B5"/>
    <w:multiLevelType w:val="multilevel"/>
    <w:tmpl w:val="73C0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5E54E3"/>
    <w:multiLevelType w:val="multilevel"/>
    <w:tmpl w:val="8912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996B4D"/>
    <w:multiLevelType w:val="multilevel"/>
    <w:tmpl w:val="5D2CB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76026D"/>
    <w:multiLevelType w:val="multilevel"/>
    <w:tmpl w:val="92C8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A7324F"/>
    <w:multiLevelType w:val="multilevel"/>
    <w:tmpl w:val="A22A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4607DA"/>
    <w:multiLevelType w:val="multilevel"/>
    <w:tmpl w:val="E92E4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477F9A"/>
    <w:multiLevelType w:val="multilevel"/>
    <w:tmpl w:val="2968E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577254"/>
    <w:multiLevelType w:val="multilevel"/>
    <w:tmpl w:val="BAD8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16C0569"/>
    <w:multiLevelType w:val="multilevel"/>
    <w:tmpl w:val="9EBA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247633B"/>
    <w:multiLevelType w:val="multilevel"/>
    <w:tmpl w:val="56D6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38224D5"/>
    <w:multiLevelType w:val="multilevel"/>
    <w:tmpl w:val="7D56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5A50564"/>
    <w:multiLevelType w:val="multilevel"/>
    <w:tmpl w:val="063A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7636B6B"/>
    <w:multiLevelType w:val="multilevel"/>
    <w:tmpl w:val="59243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1F62C0"/>
    <w:multiLevelType w:val="multilevel"/>
    <w:tmpl w:val="6E7868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9A636DB"/>
    <w:multiLevelType w:val="multilevel"/>
    <w:tmpl w:val="3FD68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9C66A7E"/>
    <w:multiLevelType w:val="multilevel"/>
    <w:tmpl w:val="4362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A852179"/>
    <w:multiLevelType w:val="multilevel"/>
    <w:tmpl w:val="964E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3B6341"/>
    <w:multiLevelType w:val="multilevel"/>
    <w:tmpl w:val="ED8C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D1568C8"/>
    <w:multiLevelType w:val="multilevel"/>
    <w:tmpl w:val="1F6C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EB94DB5"/>
    <w:multiLevelType w:val="multilevel"/>
    <w:tmpl w:val="A5EE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F535941"/>
    <w:multiLevelType w:val="multilevel"/>
    <w:tmpl w:val="CD84F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F7D4144"/>
    <w:multiLevelType w:val="multilevel"/>
    <w:tmpl w:val="26421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4992E1E"/>
    <w:multiLevelType w:val="multilevel"/>
    <w:tmpl w:val="E93E9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EA70A3"/>
    <w:multiLevelType w:val="multilevel"/>
    <w:tmpl w:val="F9CC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5060930"/>
    <w:multiLevelType w:val="multilevel"/>
    <w:tmpl w:val="65DC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60410E6"/>
    <w:multiLevelType w:val="multilevel"/>
    <w:tmpl w:val="D624C7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69674D9"/>
    <w:multiLevelType w:val="multilevel"/>
    <w:tmpl w:val="EA5E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7D266BB"/>
    <w:multiLevelType w:val="multilevel"/>
    <w:tmpl w:val="AD20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BA112A"/>
    <w:multiLevelType w:val="multilevel"/>
    <w:tmpl w:val="61B6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9543A86"/>
    <w:multiLevelType w:val="multilevel"/>
    <w:tmpl w:val="BE14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9A564F5"/>
    <w:multiLevelType w:val="multilevel"/>
    <w:tmpl w:val="C8305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9B00556"/>
    <w:multiLevelType w:val="multilevel"/>
    <w:tmpl w:val="E868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C0164A6"/>
    <w:multiLevelType w:val="multilevel"/>
    <w:tmpl w:val="201EA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E1E7CAA"/>
    <w:multiLevelType w:val="multilevel"/>
    <w:tmpl w:val="9B2E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19F543A"/>
    <w:multiLevelType w:val="multilevel"/>
    <w:tmpl w:val="169E2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3BE3DF7"/>
    <w:multiLevelType w:val="multilevel"/>
    <w:tmpl w:val="F30C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570569E"/>
    <w:multiLevelType w:val="multilevel"/>
    <w:tmpl w:val="61D80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58B4C4F"/>
    <w:multiLevelType w:val="multilevel"/>
    <w:tmpl w:val="8BB0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5E9797A"/>
    <w:multiLevelType w:val="multilevel"/>
    <w:tmpl w:val="3E54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6354DF4"/>
    <w:multiLevelType w:val="multilevel"/>
    <w:tmpl w:val="A3BE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6742D09"/>
    <w:multiLevelType w:val="multilevel"/>
    <w:tmpl w:val="C07A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6D955FC"/>
    <w:multiLevelType w:val="multilevel"/>
    <w:tmpl w:val="CC96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71A121B"/>
    <w:multiLevelType w:val="multilevel"/>
    <w:tmpl w:val="87147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7520713"/>
    <w:multiLevelType w:val="multilevel"/>
    <w:tmpl w:val="02C6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7C07B48"/>
    <w:multiLevelType w:val="multilevel"/>
    <w:tmpl w:val="A444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646759"/>
    <w:multiLevelType w:val="multilevel"/>
    <w:tmpl w:val="164A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9861B84"/>
    <w:multiLevelType w:val="multilevel"/>
    <w:tmpl w:val="8A266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A894DB0"/>
    <w:multiLevelType w:val="multilevel"/>
    <w:tmpl w:val="54E8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AC9790D"/>
    <w:multiLevelType w:val="multilevel"/>
    <w:tmpl w:val="81CA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503C7C"/>
    <w:multiLevelType w:val="multilevel"/>
    <w:tmpl w:val="66FEA8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BE75E0A"/>
    <w:multiLevelType w:val="multilevel"/>
    <w:tmpl w:val="D876B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C7B773D"/>
    <w:multiLevelType w:val="multilevel"/>
    <w:tmpl w:val="3DF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DEE1CF9"/>
    <w:multiLevelType w:val="multilevel"/>
    <w:tmpl w:val="6510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E0034BC"/>
    <w:multiLevelType w:val="multilevel"/>
    <w:tmpl w:val="A1B04F3C"/>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F0C73FB"/>
    <w:multiLevelType w:val="multilevel"/>
    <w:tmpl w:val="6414A8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0FD75F2"/>
    <w:multiLevelType w:val="multilevel"/>
    <w:tmpl w:val="08503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408229E"/>
    <w:multiLevelType w:val="multilevel"/>
    <w:tmpl w:val="826E1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4F77DBA"/>
    <w:multiLevelType w:val="hybridMultilevel"/>
    <w:tmpl w:val="12EE82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4502106D"/>
    <w:multiLevelType w:val="multilevel"/>
    <w:tmpl w:val="CC1E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5D3035D"/>
    <w:multiLevelType w:val="multilevel"/>
    <w:tmpl w:val="7F8C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60E40E4"/>
    <w:multiLevelType w:val="multilevel"/>
    <w:tmpl w:val="554227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77D5A18"/>
    <w:multiLevelType w:val="multilevel"/>
    <w:tmpl w:val="2886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8CD1CC4"/>
    <w:multiLevelType w:val="multilevel"/>
    <w:tmpl w:val="84403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8D85A1A"/>
    <w:multiLevelType w:val="multilevel"/>
    <w:tmpl w:val="A8649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9D116A1"/>
    <w:multiLevelType w:val="multilevel"/>
    <w:tmpl w:val="A71E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AEB4B50"/>
    <w:multiLevelType w:val="multilevel"/>
    <w:tmpl w:val="24EC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C0479FD"/>
    <w:multiLevelType w:val="multilevel"/>
    <w:tmpl w:val="49AE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C48379C"/>
    <w:multiLevelType w:val="multilevel"/>
    <w:tmpl w:val="32D8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CF21A54"/>
    <w:multiLevelType w:val="multilevel"/>
    <w:tmpl w:val="798E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F715782"/>
    <w:multiLevelType w:val="multilevel"/>
    <w:tmpl w:val="DCCE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11E37D2"/>
    <w:multiLevelType w:val="multilevel"/>
    <w:tmpl w:val="52B8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1376D90"/>
    <w:multiLevelType w:val="multilevel"/>
    <w:tmpl w:val="E0A4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3983425"/>
    <w:multiLevelType w:val="multilevel"/>
    <w:tmpl w:val="3F84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4160734"/>
    <w:multiLevelType w:val="multilevel"/>
    <w:tmpl w:val="238AB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5805871"/>
    <w:multiLevelType w:val="multilevel"/>
    <w:tmpl w:val="3CAC0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6066F69"/>
    <w:multiLevelType w:val="multilevel"/>
    <w:tmpl w:val="B126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7523A7A"/>
    <w:multiLevelType w:val="multilevel"/>
    <w:tmpl w:val="3BA6A2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7BF781B"/>
    <w:multiLevelType w:val="multilevel"/>
    <w:tmpl w:val="D850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86A1B7A"/>
    <w:multiLevelType w:val="multilevel"/>
    <w:tmpl w:val="895282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9112CFF"/>
    <w:multiLevelType w:val="multilevel"/>
    <w:tmpl w:val="B75A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9E910EB"/>
    <w:multiLevelType w:val="multilevel"/>
    <w:tmpl w:val="5908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BB60EA6"/>
    <w:multiLevelType w:val="multilevel"/>
    <w:tmpl w:val="49B2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D414032"/>
    <w:multiLevelType w:val="multilevel"/>
    <w:tmpl w:val="03D8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F307D32"/>
    <w:multiLevelType w:val="multilevel"/>
    <w:tmpl w:val="7658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F923E14"/>
    <w:multiLevelType w:val="multilevel"/>
    <w:tmpl w:val="98EE4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00C6D35"/>
    <w:multiLevelType w:val="multilevel"/>
    <w:tmpl w:val="94F4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0CE0F05"/>
    <w:multiLevelType w:val="multilevel"/>
    <w:tmpl w:val="D958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15079D1"/>
    <w:multiLevelType w:val="multilevel"/>
    <w:tmpl w:val="546E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4C76750"/>
    <w:multiLevelType w:val="multilevel"/>
    <w:tmpl w:val="85EA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5F23340"/>
    <w:multiLevelType w:val="multilevel"/>
    <w:tmpl w:val="CE58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6521C56"/>
    <w:multiLevelType w:val="multilevel"/>
    <w:tmpl w:val="910E6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71D1D0D"/>
    <w:multiLevelType w:val="multilevel"/>
    <w:tmpl w:val="46FE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83D355E"/>
    <w:multiLevelType w:val="multilevel"/>
    <w:tmpl w:val="4B84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99969A1"/>
    <w:multiLevelType w:val="multilevel"/>
    <w:tmpl w:val="3048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B027191"/>
    <w:multiLevelType w:val="multilevel"/>
    <w:tmpl w:val="3550C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C1C3623"/>
    <w:multiLevelType w:val="multilevel"/>
    <w:tmpl w:val="3204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C9A18AE"/>
    <w:multiLevelType w:val="multilevel"/>
    <w:tmpl w:val="1D94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CCC1FC2"/>
    <w:multiLevelType w:val="multilevel"/>
    <w:tmpl w:val="3F9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04D0F5F"/>
    <w:multiLevelType w:val="multilevel"/>
    <w:tmpl w:val="D87E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0C221F9"/>
    <w:multiLevelType w:val="multilevel"/>
    <w:tmpl w:val="1BC8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38057BB"/>
    <w:multiLevelType w:val="multilevel"/>
    <w:tmpl w:val="AEFC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4110928"/>
    <w:multiLevelType w:val="multilevel"/>
    <w:tmpl w:val="C8D4F3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4AA6D47"/>
    <w:multiLevelType w:val="multilevel"/>
    <w:tmpl w:val="28E0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65A3508"/>
    <w:multiLevelType w:val="multilevel"/>
    <w:tmpl w:val="8A0C6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8581157"/>
    <w:multiLevelType w:val="multilevel"/>
    <w:tmpl w:val="BB9E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8EE1483"/>
    <w:multiLevelType w:val="multilevel"/>
    <w:tmpl w:val="126E5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9156E37"/>
    <w:multiLevelType w:val="multilevel"/>
    <w:tmpl w:val="E1C8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93377F8"/>
    <w:multiLevelType w:val="multilevel"/>
    <w:tmpl w:val="8908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AC63E8B"/>
    <w:multiLevelType w:val="multilevel"/>
    <w:tmpl w:val="55481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B386C25"/>
    <w:multiLevelType w:val="multilevel"/>
    <w:tmpl w:val="0C38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D1A2EAA"/>
    <w:multiLevelType w:val="multilevel"/>
    <w:tmpl w:val="FD4CF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D806DB2"/>
    <w:multiLevelType w:val="multilevel"/>
    <w:tmpl w:val="288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DDC4632"/>
    <w:multiLevelType w:val="multilevel"/>
    <w:tmpl w:val="7E9A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F524C74"/>
    <w:multiLevelType w:val="multilevel"/>
    <w:tmpl w:val="7516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2907718">
    <w:abstractNumId w:val="92"/>
  </w:num>
  <w:num w:numId="2" w16cid:durableId="1169980434">
    <w:abstractNumId w:val="44"/>
  </w:num>
  <w:num w:numId="3" w16cid:durableId="1965696624">
    <w:abstractNumId w:val="82"/>
  </w:num>
  <w:num w:numId="4" w16cid:durableId="394549459">
    <w:abstractNumId w:val="118"/>
  </w:num>
  <w:num w:numId="5" w16cid:durableId="585918604">
    <w:abstractNumId w:val="54"/>
  </w:num>
  <w:num w:numId="6" w16cid:durableId="1851873335">
    <w:abstractNumId w:val="6"/>
  </w:num>
  <w:num w:numId="7" w16cid:durableId="1535192481">
    <w:abstractNumId w:val="3"/>
  </w:num>
  <w:num w:numId="8" w16cid:durableId="1581985075">
    <w:abstractNumId w:val="49"/>
  </w:num>
  <w:num w:numId="9" w16cid:durableId="1269849030">
    <w:abstractNumId w:val="69"/>
  </w:num>
  <w:num w:numId="10" w16cid:durableId="986206127">
    <w:abstractNumId w:val="120"/>
  </w:num>
  <w:num w:numId="11" w16cid:durableId="1770004449">
    <w:abstractNumId w:val="53"/>
  </w:num>
  <w:num w:numId="12" w16cid:durableId="1497696149">
    <w:abstractNumId w:val="39"/>
  </w:num>
  <w:num w:numId="13" w16cid:durableId="1356884220">
    <w:abstractNumId w:val="19"/>
  </w:num>
  <w:num w:numId="14" w16cid:durableId="788157962">
    <w:abstractNumId w:val="89"/>
  </w:num>
  <w:num w:numId="15" w16cid:durableId="1786579430">
    <w:abstractNumId w:val="18"/>
  </w:num>
  <w:num w:numId="16" w16cid:durableId="1499728350">
    <w:abstractNumId w:val="107"/>
  </w:num>
  <w:num w:numId="17" w16cid:durableId="1270548357">
    <w:abstractNumId w:val="75"/>
  </w:num>
  <w:num w:numId="18" w16cid:durableId="694573032">
    <w:abstractNumId w:val="25"/>
  </w:num>
  <w:num w:numId="19" w16cid:durableId="995911596">
    <w:abstractNumId w:val="24"/>
  </w:num>
  <w:num w:numId="20" w16cid:durableId="760027786">
    <w:abstractNumId w:val="4"/>
  </w:num>
  <w:num w:numId="21" w16cid:durableId="602881325">
    <w:abstractNumId w:val="1"/>
  </w:num>
  <w:num w:numId="22" w16cid:durableId="183637523">
    <w:abstractNumId w:val="13"/>
  </w:num>
  <w:num w:numId="23" w16cid:durableId="521630064">
    <w:abstractNumId w:val="71"/>
  </w:num>
  <w:num w:numId="24" w16cid:durableId="1056734218">
    <w:abstractNumId w:val="116"/>
  </w:num>
  <w:num w:numId="25" w16cid:durableId="1295139550">
    <w:abstractNumId w:val="40"/>
  </w:num>
  <w:num w:numId="26" w16cid:durableId="26565605">
    <w:abstractNumId w:val="0"/>
  </w:num>
  <w:num w:numId="27" w16cid:durableId="439032820">
    <w:abstractNumId w:val="35"/>
  </w:num>
  <w:num w:numId="28" w16cid:durableId="2112358131">
    <w:abstractNumId w:val="57"/>
  </w:num>
  <w:num w:numId="29" w16cid:durableId="816228">
    <w:abstractNumId w:val="73"/>
  </w:num>
  <w:num w:numId="30" w16cid:durableId="759254999">
    <w:abstractNumId w:val="34"/>
  </w:num>
  <w:num w:numId="31" w16cid:durableId="1679846972">
    <w:abstractNumId w:val="63"/>
  </w:num>
  <w:num w:numId="32" w16cid:durableId="701827429">
    <w:abstractNumId w:val="67"/>
  </w:num>
  <w:num w:numId="33" w16cid:durableId="1640767389">
    <w:abstractNumId w:val="20"/>
  </w:num>
  <w:num w:numId="34" w16cid:durableId="1428162381">
    <w:abstractNumId w:val="15"/>
  </w:num>
  <w:num w:numId="35" w16cid:durableId="772939874">
    <w:abstractNumId w:val="51"/>
  </w:num>
  <w:num w:numId="36" w16cid:durableId="147480544">
    <w:abstractNumId w:val="111"/>
  </w:num>
  <w:num w:numId="37" w16cid:durableId="1419059705">
    <w:abstractNumId w:val="78"/>
  </w:num>
  <w:num w:numId="38" w16cid:durableId="212892217">
    <w:abstractNumId w:val="110"/>
  </w:num>
  <w:num w:numId="39" w16cid:durableId="2089570318">
    <w:abstractNumId w:val="32"/>
  </w:num>
  <w:num w:numId="40" w16cid:durableId="1523323600">
    <w:abstractNumId w:val="108"/>
  </w:num>
  <w:num w:numId="41" w16cid:durableId="880239922">
    <w:abstractNumId w:val="87"/>
  </w:num>
  <w:num w:numId="42" w16cid:durableId="1468813920">
    <w:abstractNumId w:val="121"/>
  </w:num>
  <w:num w:numId="43" w16cid:durableId="276252060">
    <w:abstractNumId w:val="112"/>
  </w:num>
  <w:num w:numId="44" w16cid:durableId="483158546">
    <w:abstractNumId w:val="61"/>
  </w:num>
  <w:num w:numId="45" w16cid:durableId="1080175404">
    <w:abstractNumId w:val="5"/>
  </w:num>
  <w:num w:numId="46" w16cid:durableId="1025517019">
    <w:abstractNumId w:val="99"/>
  </w:num>
  <w:num w:numId="47" w16cid:durableId="1637369108">
    <w:abstractNumId w:val="43"/>
  </w:num>
  <w:num w:numId="48" w16cid:durableId="1352730352">
    <w:abstractNumId w:val="17"/>
  </w:num>
  <w:num w:numId="49" w16cid:durableId="849181050">
    <w:abstractNumId w:val="100"/>
  </w:num>
  <w:num w:numId="50" w16cid:durableId="925501882">
    <w:abstractNumId w:val="27"/>
  </w:num>
  <w:num w:numId="51" w16cid:durableId="534192516">
    <w:abstractNumId w:val="85"/>
  </w:num>
  <w:num w:numId="52" w16cid:durableId="760296703">
    <w:abstractNumId w:val="7"/>
  </w:num>
  <w:num w:numId="53" w16cid:durableId="1995639498">
    <w:abstractNumId w:val="93"/>
  </w:num>
  <w:num w:numId="54" w16cid:durableId="1327905791">
    <w:abstractNumId w:val="9"/>
  </w:num>
  <w:num w:numId="55" w16cid:durableId="1504859544">
    <w:abstractNumId w:val="91"/>
  </w:num>
  <w:num w:numId="56" w16cid:durableId="1972906799">
    <w:abstractNumId w:val="114"/>
  </w:num>
  <w:num w:numId="57" w16cid:durableId="1746150583">
    <w:abstractNumId w:val="96"/>
  </w:num>
  <w:num w:numId="58" w16cid:durableId="1241404552">
    <w:abstractNumId w:val="38"/>
  </w:num>
  <w:num w:numId="59" w16cid:durableId="292713624">
    <w:abstractNumId w:val="45"/>
  </w:num>
  <w:num w:numId="60" w16cid:durableId="1623733052">
    <w:abstractNumId w:val="72"/>
  </w:num>
  <w:num w:numId="61" w16cid:durableId="633870965">
    <w:abstractNumId w:val="98"/>
  </w:num>
  <w:num w:numId="62" w16cid:durableId="1386636566">
    <w:abstractNumId w:val="41"/>
  </w:num>
  <w:num w:numId="63" w16cid:durableId="1245266879">
    <w:abstractNumId w:val="79"/>
  </w:num>
  <w:num w:numId="64" w16cid:durableId="512378696">
    <w:abstractNumId w:val="64"/>
  </w:num>
  <w:num w:numId="65" w16cid:durableId="1827357317">
    <w:abstractNumId w:val="90"/>
  </w:num>
  <w:num w:numId="66" w16cid:durableId="1723290876">
    <w:abstractNumId w:val="48"/>
  </w:num>
  <w:num w:numId="67" w16cid:durableId="277951402">
    <w:abstractNumId w:val="55"/>
  </w:num>
  <w:num w:numId="68" w16cid:durableId="935409905">
    <w:abstractNumId w:val="77"/>
  </w:num>
  <w:num w:numId="69" w16cid:durableId="179859256">
    <w:abstractNumId w:val="30"/>
  </w:num>
  <w:num w:numId="70" w16cid:durableId="386993824">
    <w:abstractNumId w:val="119"/>
  </w:num>
  <w:num w:numId="71" w16cid:durableId="1488009587">
    <w:abstractNumId w:val="81"/>
  </w:num>
  <w:num w:numId="72" w16cid:durableId="1335113115">
    <w:abstractNumId w:val="31"/>
  </w:num>
  <w:num w:numId="73" w16cid:durableId="498691931">
    <w:abstractNumId w:val="42"/>
  </w:num>
  <w:num w:numId="74" w16cid:durableId="41639769">
    <w:abstractNumId w:val="66"/>
  </w:num>
  <w:num w:numId="75" w16cid:durableId="1859731670">
    <w:abstractNumId w:val="28"/>
  </w:num>
  <w:num w:numId="76" w16cid:durableId="1280911686">
    <w:abstractNumId w:val="29"/>
  </w:num>
  <w:num w:numId="77" w16cid:durableId="2126538672">
    <w:abstractNumId w:val="23"/>
  </w:num>
  <w:num w:numId="78" w16cid:durableId="1017468506">
    <w:abstractNumId w:val="59"/>
  </w:num>
  <w:num w:numId="79" w16cid:durableId="218443478">
    <w:abstractNumId w:val="113"/>
  </w:num>
  <w:num w:numId="80" w16cid:durableId="1067338642">
    <w:abstractNumId w:val="16"/>
  </w:num>
  <w:num w:numId="81" w16cid:durableId="849569538">
    <w:abstractNumId w:val="88"/>
  </w:num>
  <w:num w:numId="82" w16cid:durableId="1942912964">
    <w:abstractNumId w:val="70"/>
  </w:num>
  <w:num w:numId="83" w16cid:durableId="331178328">
    <w:abstractNumId w:val="84"/>
  </w:num>
  <w:num w:numId="84" w16cid:durableId="541477266">
    <w:abstractNumId w:val="58"/>
  </w:num>
  <w:num w:numId="85" w16cid:durableId="1575164665">
    <w:abstractNumId w:val="50"/>
  </w:num>
  <w:num w:numId="86" w16cid:durableId="730151830">
    <w:abstractNumId w:val="102"/>
  </w:num>
  <w:num w:numId="87" w16cid:durableId="878128747">
    <w:abstractNumId w:val="46"/>
  </w:num>
  <w:num w:numId="88" w16cid:durableId="2145153412">
    <w:abstractNumId w:val="8"/>
  </w:num>
  <w:num w:numId="89" w16cid:durableId="1523398698">
    <w:abstractNumId w:val="37"/>
  </w:num>
  <w:num w:numId="90" w16cid:durableId="2047294974">
    <w:abstractNumId w:val="14"/>
  </w:num>
  <w:num w:numId="91" w16cid:durableId="127745200">
    <w:abstractNumId w:val="60"/>
  </w:num>
  <w:num w:numId="92" w16cid:durableId="629945371">
    <w:abstractNumId w:val="109"/>
  </w:num>
  <w:num w:numId="93" w16cid:durableId="620956650">
    <w:abstractNumId w:val="33"/>
  </w:num>
  <w:num w:numId="94" w16cid:durableId="1440249638">
    <w:abstractNumId w:val="62"/>
  </w:num>
  <w:num w:numId="95" w16cid:durableId="16589799">
    <w:abstractNumId w:val="21"/>
  </w:num>
  <w:num w:numId="96" w16cid:durableId="71977288">
    <w:abstractNumId w:val="22"/>
  </w:num>
  <w:num w:numId="97" w16cid:durableId="280308283">
    <w:abstractNumId w:val="12"/>
  </w:num>
  <w:num w:numId="98" w16cid:durableId="171845016">
    <w:abstractNumId w:val="97"/>
  </w:num>
  <w:num w:numId="99" w16cid:durableId="1741826137">
    <w:abstractNumId w:val="95"/>
  </w:num>
  <w:num w:numId="100" w16cid:durableId="1737972920">
    <w:abstractNumId w:val="36"/>
  </w:num>
  <w:num w:numId="101" w16cid:durableId="1751734706">
    <w:abstractNumId w:val="86"/>
  </w:num>
  <w:num w:numId="102" w16cid:durableId="491144419">
    <w:abstractNumId w:val="76"/>
  </w:num>
  <w:num w:numId="103" w16cid:durableId="1965887622">
    <w:abstractNumId w:val="106"/>
  </w:num>
  <w:num w:numId="104" w16cid:durableId="1046757979">
    <w:abstractNumId w:val="103"/>
  </w:num>
  <w:num w:numId="105" w16cid:durableId="239559583">
    <w:abstractNumId w:val="94"/>
  </w:num>
  <w:num w:numId="106" w16cid:durableId="1035469341">
    <w:abstractNumId w:val="26"/>
  </w:num>
  <w:num w:numId="107" w16cid:durableId="2092048014">
    <w:abstractNumId w:val="74"/>
  </w:num>
  <w:num w:numId="108" w16cid:durableId="1849714076">
    <w:abstractNumId w:val="83"/>
  </w:num>
  <w:num w:numId="109" w16cid:durableId="600341298">
    <w:abstractNumId w:val="80"/>
  </w:num>
  <w:num w:numId="110" w16cid:durableId="675689439">
    <w:abstractNumId w:val="10"/>
  </w:num>
  <w:num w:numId="111" w16cid:durableId="1165168271">
    <w:abstractNumId w:val="101"/>
  </w:num>
  <w:num w:numId="112" w16cid:durableId="821893706">
    <w:abstractNumId w:val="105"/>
  </w:num>
  <w:num w:numId="113" w16cid:durableId="1217429211">
    <w:abstractNumId w:val="47"/>
  </w:num>
  <w:num w:numId="114" w16cid:durableId="1834681524">
    <w:abstractNumId w:val="104"/>
  </w:num>
  <w:num w:numId="115" w16cid:durableId="149443735">
    <w:abstractNumId w:val="11"/>
  </w:num>
  <w:num w:numId="116" w16cid:durableId="1050808333">
    <w:abstractNumId w:val="115"/>
  </w:num>
  <w:num w:numId="117" w16cid:durableId="1931618879">
    <w:abstractNumId w:val="2"/>
  </w:num>
  <w:num w:numId="118" w16cid:durableId="1289622243">
    <w:abstractNumId w:val="65"/>
  </w:num>
  <w:num w:numId="119" w16cid:durableId="2139488990">
    <w:abstractNumId w:val="56"/>
  </w:num>
  <w:num w:numId="120" w16cid:durableId="288777906">
    <w:abstractNumId w:val="52"/>
  </w:num>
  <w:num w:numId="121" w16cid:durableId="647320332">
    <w:abstractNumId w:val="117"/>
  </w:num>
  <w:num w:numId="122" w16cid:durableId="1642465123">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BB"/>
    <w:rsid w:val="00002CD6"/>
    <w:rsid w:val="000215E5"/>
    <w:rsid w:val="00053ECC"/>
    <w:rsid w:val="00066F35"/>
    <w:rsid w:val="00095412"/>
    <w:rsid w:val="000C1099"/>
    <w:rsid w:val="000C51AB"/>
    <w:rsid w:val="000E4689"/>
    <w:rsid w:val="000E6768"/>
    <w:rsid w:val="00110552"/>
    <w:rsid w:val="00121135"/>
    <w:rsid w:val="0014237F"/>
    <w:rsid w:val="001538D4"/>
    <w:rsid w:val="0018431A"/>
    <w:rsid w:val="001F514B"/>
    <w:rsid w:val="00251418"/>
    <w:rsid w:val="002645D3"/>
    <w:rsid w:val="002700DC"/>
    <w:rsid w:val="002B26BB"/>
    <w:rsid w:val="002C05A2"/>
    <w:rsid w:val="00300A47"/>
    <w:rsid w:val="003012C7"/>
    <w:rsid w:val="003558B9"/>
    <w:rsid w:val="00370523"/>
    <w:rsid w:val="003724AF"/>
    <w:rsid w:val="00384C5A"/>
    <w:rsid w:val="00392216"/>
    <w:rsid w:val="003B1DA3"/>
    <w:rsid w:val="003B4A90"/>
    <w:rsid w:val="003C0EDB"/>
    <w:rsid w:val="003F539C"/>
    <w:rsid w:val="004153B4"/>
    <w:rsid w:val="00463AE1"/>
    <w:rsid w:val="0047666B"/>
    <w:rsid w:val="004779ED"/>
    <w:rsid w:val="004A4B0D"/>
    <w:rsid w:val="004C0F84"/>
    <w:rsid w:val="004D4008"/>
    <w:rsid w:val="004F336E"/>
    <w:rsid w:val="005950B8"/>
    <w:rsid w:val="005C09CC"/>
    <w:rsid w:val="005C1A0E"/>
    <w:rsid w:val="005C23C6"/>
    <w:rsid w:val="005E7E74"/>
    <w:rsid w:val="005F62DB"/>
    <w:rsid w:val="00606C9D"/>
    <w:rsid w:val="0061213E"/>
    <w:rsid w:val="00614722"/>
    <w:rsid w:val="006153D5"/>
    <w:rsid w:val="006266BA"/>
    <w:rsid w:val="00627F0F"/>
    <w:rsid w:val="006438FE"/>
    <w:rsid w:val="006756CD"/>
    <w:rsid w:val="006770DF"/>
    <w:rsid w:val="006A56D9"/>
    <w:rsid w:val="006B1863"/>
    <w:rsid w:val="00703C33"/>
    <w:rsid w:val="007410E3"/>
    <w:rsid w:val="00774555"/>
    <w:rsid w:val="007837EB"/>
    <w:rsid w:val="007B02FB"/>
    <w:rsid w:val="007B1E8F"/>
    <w:rsid w:val="008063C1"/>
    <w:rsid w:val="008275F5"/>
    <w:rsid w:val="00836F41"/>
    <w:rsid w:val="0089754B"/>
    <w:rsid w:val="008E0812"/>
    <w:rsid w:val="008E4383"/>
    <w:rsid w:val="008F105F"/>
    <w:rsid w:val="008F4B47"/>
    <w:rsid w:val="00900A58"/>
    <w:rsid w:val="00912B90"/>
    <w:rsid w:val="0092611D"/>
    <w:rsid w:val="00942E4E"/>
    <w:rsid w:val="00951A00"/>
    <w:rsid w:val="00986DFC"/>
    <w:rsid w:val="009B7F00"/>
    <w:rsid w:val="009E2B8D"/>
    <w:rsid w:val="00A71E49"/>
    <w:rsid w:val="00A810D8"/>
    <w:rsid w:val="00A95B14"/>
    <w:rsid w:val="00AD70BB"/>
    <w:rsid w:val="00AF34D8"/>
    <w:rsid w:val="00AF3BA2"/>
    <w:rsid w:val="00AF67F8"/>
    <w:rsid w:val="00AF7715"/>
    <w:rsid w:val="00B02205"/>
    <w:rsid w:val="00B02DA0"/>
    <w:rsid w:val="00B1219C"/>
    <w:rsid w:val="00B2699C"/>
    <w:rsid w:val="00B32CEC"/>
    <w:rsid w:val="00B37032"/>
    <w:rsid w:val="00B379CE"/>
    <w:rsid w:val="00B50A50"/>
    <w:rsid w:val="00B542F3"/>
    <w:rsid w:val="00BA5DB6"/>
    <w:rsid w:val="00BB61F1"/>
    <w:rsid w:val="00BC2DCA"/>
    <w:rsid w:val="00BF4704"/>
    <w:rsid w:val="00C016A5"/>
    <w:rsid w:val="00C047EA"/>
    <w:rsid w:val="00C048CC"/>
    <w:rsid w:val="00C766D2"/>
    <w:rsid w:val="00CA47F1"/>
    <w:rsid w:val="00CB3399"/>
    <w:rsid w:val="00CC3DC7"/>
    <w:rsid w:val="00CC48EE"/>
    <w:rsid w:val="00CF49FF"/>
    <w:rsid w:val="00D11201"/>
    <w:rsid w:val="00D3733D"/>
    <w:rsid w:val="00D617FA"/>
    <w:rsid w:val="00D67437"/>
    <w:rsid w:val="00D9107C"/>
    <w:rsid w:val="00D92CFD"/>
    <w:rsid w:val="00DA4B83"/>
    <w:rsid w:val="00DA73E7"/>
    <w:rsid w:val="00DB1275"/>
    <w:rsid w:val="00DB46EC"/>
    <w:rsid w:val="00DC3C73"/>
    <w:rsid w:val="00DE2B37"/>
    <w:rsid w:val="00DF6BC2"/>
    <w:rsid w:val="00E3591E"/>
    <w:rsid w:val="00E359C1"/>
    <w:rsid w:val="00E7185B"/>
    <w:rsid w:val="00E86979"/>
    <w:rsid w:val="00E92BF4"/>
    <w:rsid w:val="00EA2ACE"/>
    <w:rsid w:val="00EA5E00"/>
    <w:rsid w:val="00EF1ABE"/>
    <w:rsid w:val="00F02A78"/>
    <w:rsid w:val="00F271F4"/>
    <w:rsid w:val="00F71E23"/>
    <w:rsid w:val="00FA6767"/>
    <w:rsid w:val="00FC6726"/>
    <w:rsid w:val="00FF3B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2B8B6"/>
  <w15:chartTrackingRefBased/>
  <w15:docId w15:val="{B24FDEA3-6A1B-4CA3-ABE3-3E24A5FE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B26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2B26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2B26B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B26B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B26B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B26B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B26B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B26B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B26B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B26B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2B26B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2B26B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B26B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B26B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B26B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B26B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B26B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B26BB"/>
    <w:rPr>
      <w:rFonts w:eastAsiaTheme="majorEastAsia" w:cstheme="majorBidi"/>
      <w:color w:val="272727" w:themeColor="text1" w:themeTint="D8"/>
    </w:rPr>
  </w:style>
  <w:style w:type="paragraph" w:styleId="Titel">
    <w:name w:val="Title"/>
    <w:basedOn w:val="Standard"/>
    <w:next w:val="Standard"/>
    <w:link w:val="TitelZchn"/>
    <w:uiPriority w:val="10"/>
    <w:qFormat/>
    <w:rsid w:val="002B26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B26B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B26B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B26B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B26B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B26BB"/>
    <w:rPr>
      <w:i/>
      <w:iCs/>
      <w:color w:val="404040" w:themeColor="text1" w:themeTint="BF"/>
    </w:rPr>
  </w:style>
  <w:style w:type="paragraph" w:styleId="Listenabsatz">
    <w:name w:val="List Paragraph"/>
    <w:basedOn w:val="Standard"/>
    <w:uiPriority w:val="34"/>
    <w:qFormat/>
    <w:rsid w:val="002B26BB"/>
    <w:pPr>
      <w:ind w:left="720"/>
      <w:contextualSpacing/>
    </w:pPr>
  </w:style>
  <w:style w:type="character" w:styleId="IntensiveHervorhebung">
    <w:name w:val="Intense Emphasis"/>
    <w:basedOn w:val="Absatz-Standardschriftart"/>
    <w:uiPriority w:val="21"/>
    <w:qFormat/>
    <w:rsid w:val="002B26BB"/>
    <w:rPr>
      <w:i/>
      <w:iCs/>
      <w:color w:val="0F4761" w:themeColor="accent1" w:themeShade="BF"/>
    </w:rPr>
  </w:style>
  <w:style w:type="paragraph" w:styleId="IntensivesZitat">
    <w:name w:val="Intense Quote"/>
    <w:basedOn w:val="Standard"/>
    <w:next w:val="Standard"/>
    <w:link w:val="IntensivesZitatZchn"/>
    <w:uiPriority w:val="30"/>
    <w:qFormat/>
    <w:rsid w:val="002B26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B26BB"/>
    <w:rPr>
      <w:i/>
      <w:iCs/>
      <w:color w:val="0F4761" w:themeColor="accent1" w:themeShade="BF"/>
    </w:rPr>
  </w:style>
  <w:style w:type="character" w:styleId="IntensiverVerweis">
    <w:name w:val="Intense Reference"/>
    <w:basedOn w:val="Absatz-Standardschriftart"/>
    <w:uiPriority w:val="32"/>
    <w:qFormat/>
    <w:rsid w:val="002B26BB"/>
    <w:rPr>
      <w:b/>
      <w:bCs/>
      <w:smallCaps/>
      <w:color w:val="0F4761" w:themeColor="accent1" w:themeShade="BF"/>
      <w:spacing w:val="5"/>
    </w:rPr>
  </w:style>
  <w:style w:type="character" w:styleId="Hyperlink">
    <w:name w:val="Hyperlink"/>
    <w:basedOn w:val="Absatz-Standardschriftart"/>
    <w:uiPriority w:val="99"/>
    <w:unhideWhenUsed/>
    <w:rsid w:val="002645D3"/>
    <w:rPr>
      <w:color w:val="467886" w:themeColor="hyperlink"/>
      <w:u w:val="single"/>
    </w:rPr>
  </w:style>
  <w:style w:type="character" w:styleId="NichtaufgelsteErwhnung">
    <w:name w:val="Unresolved Mention"/>
    <w:basedOn w:val="Absatz-Standardschriftart"/>
    <w:uiPriority w:val="99"/>
    <w:semiHidden/>
    <w:unhideWhenUsed/>
    <w:rsid w:val="002645D3"/>
    <w:rPr>
      <w:color w:val="605E5C"/>
      <w:shd w:val="clear" w:color="auto" w:fill="E1DFDD"/>
    </w:rPr>
  </w:style>
  <w:style w:type="paragraph" w:styleId="HTMLVorformatiert">
    <w:name w:val="HTML Preformatted"/>
    <w:basedOn w:val="Standard"/>
    <w:link w:val="HTMLVorformatiertZchn"/>
    <w:uiPriority w:val="99"/>
    <w:semiHidden/>
    <w:unhideWhenUsed/>
    <w:rsid w:val="00E3591E"/>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E3591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807D0-960E-45ED-9F58-6D4DB191C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1489</Words>
  <Characters>9384</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Hattwig</dc:creator>
  <cp:keywords/>
  <dc:description/>
  <cp:lastModifiedBy>Lars Hattwig</cp:lastModifiedBy>
  <cp:revision>2</cp:revision>
  <cp:lastPrinted>2025-12-25T20:20:00Z</cp:lastPrinted>
  <dcterms:created xsi:type="dcterms:W3CDTF">2026-03-25T10:53:00Z</dcterms:created>
  <dcterms:modified xsi:type="dcterms:W3CDTF">2026-03-25T10:53:00Z</dcterms:modified>
</cp:coreProperties>
</file>